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67C6" w:rsidRDefault="00D567C6" w:rsidP="00AA2E8D">
      <w:pPr>
        <w:jc w:val="both"/>
      </w:pPr>
      <w:r w:rsidRPr="00132AA0">
        <w:rPr>
          <w:noProof/>
          <w:lang w:eastAsia="en-GB"/>
        </w:rPr>
        <w:drawing>
          <wp:inline distT="0" distB="0" distL="0" distR="0" wp14:anchorId="42594F74" wp14:editId="7749E4DC">
            <wp:extent cx="2359641" cy="988099"/>
            <wp:effectExtent l="0" t="0" r="0" b="0"/>
            <wp:docPr id="716808316" name="Picture 716808316" descr="This is the logo for the ROBIN Project. Underneath the logo is the full Project Name: Reference observatory of basins " title="ROB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9641" cy="988099"/>
                    </a:xfrm>
                    <a:prstGeom prst="rect">
                      <a:avLst/>
                    </a:prstGeom>
                  </pic:spPr>
                </pic:pic>
              </a:graphicData>
            </a:graphic>
          </wp:inline>
        </w:drawing>
      </w:r>
    </w:p>
    <w:p w14:paraId="6EC820FE" w14:textId="205856DB" w:rsidR="00D567C6" w:rsidRDefault="00D567C6" w:rsidP="00AA2E8D">
      <w:pPr>
        <w:pStyle w:val="Title"/>
        <w:jc w:val="both"/>
      </w:pPr>
      <w:r>
        <w:t xml:space="preserve">Network Criteria Proposal </w:t>
      </w:r>
      <w:proofErr w:type="gramStart"/>
      <w:r>
        <w:t>v</w:t>
      </w:r>
      <w:r w:rsidR="000E3181">
        <w:t>2</w:t>
      </w:r>
      <w:proofErr w:type="gramEnd"/>
    </w:p>
    <w:p w14:paraId="2F383219" w14:textId="357CBE21" w:rsidR="00D567C6" w:rsidRDefault="000E3181" w:rsidP="00AA2E8D">
      <w:pPr>
        <w:jc w:val="both"/>
      </w:pPr>
      <w:r>
        <w:t>20th April 2022 V1: Created for the ROBIN Workshop 1.</w:t>
      </w:r>
    </w:p>
    <w:p w14:paraId="1AA4E6F9" w14:textId="30C131A6" w:rsidR="000E3181" w:rsidRDefault="00006675" w:rsidP="00AA2E8D">
      <w:pPr>
        <w:jc w:val="both"/>
      </w:pPr>
      <w:r>
        <w:t>09</w:t>
      </w:r>
      <w:r w:rsidR="000E3181" w:rsidRPr="000E3181">
        <w:rPr>
          <w:vertAlign w:val="superscript"/>
        </w:rPr>
        <w:t>th</w:t>
      </w:r>
      <w:r w:rsidR="000E3181">
        <w:t xml:space="preserve"> </w:t>
      </w:r>
      <w:r>
        <w:t>August</w:t>
      </w:r>
      <w:r w:rsidR="000E3181">
        <w:t xml:space="preserve"> 2022 V2: Update following workshop discussions. </w:t>
      </w:r>
    </w:p>
    <w:p w14:paraId="691B2196" w14:textId="774F1ACB" w:rsidR="00031B7D" w:rsidRDefault="00031B7D" w:rsidP="00AA2E8D">
      <w:pPr>
        <w:jc w:val="both"/>
      </w:pPr>
      <w:r>
        <w:rPr>
          <w:noProof/>
          <w:lang w:eastAsia="en-GB"/>
        </w:rPr>
        <mc:AlternateContent>
          <mc:Choice Requires="wps">
            <w:drawing>
              <wp:inline distT="0" distB="0" distL="0" distR="0" wp14:anchorId="0F5149FD" wp14:editId="3C902097">
                <wp:extent cx="6210300" cy="647700"/>
                <wp:effectExtent l="0" t="0" r="19050" b="19050"/>
                <wp:docPr id="3" name="Rectangle 3"/>
                <wp:cNvGraphicFramePr/>
                <a:graphic xmlns:a="http://schemas.openxmlformats.org/drawingml/2006/main">
                  <a:graphicData uri="http://schemas.microsoft.com/office/word/2010/wordprocessingShape">
                    <wps:wsp>
                      <wps:cNvSpPr/>
                      <wps:spPr>
                        <a:xfrm>
                          <a:off x="0" y="0"/>
                          <a:ext cx="6210300" cy="647700"/>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95579" w14:textId="4C4CBAAB" w:rsidR="00EA026A" w:rsidRDefault="00866269" w:rsidP="00EA026A">
                            <w:pPr>
                              <w:rPr>
                                <w:i/>
                                <w:color w:val="000000" w:themeColor="text1"/>
                              </w:rPr>
                            </w:pPr>
                            <w:r>
                              <w:rPr>
                                <w:i/>
                                <w:color w:val="000000" w:themeColor="text1"/>
                              </w:rPr>
                              <w:t xml:space="preserve">The bulk of the text in this document is unchanged from v1. </w:t>
                            </w:r>
                            <w:r w:rsidR="00216E68">
                              <w:rPr>
                                <w:i/>
                                <w:color w:val="000000" w:themeColor="text1"/>
                              </w:rPr>
                              <w:t xml:space="preserve"> </w:t>
                            </w:r>
                            <w:r w:rsidR="00EA026A">
                              <w:rPr>
                                <w:i/>
                                <w:color w:val="000000" w:themeColor="text1"/>
                              </w:rPr>
                              <w:t xml:space="preserve">The </w:t>
                            </w:r>
                            <w:r>
                              <w:rPr>
                                <w:i/>
                                <w:color w:val="000000" w:themeColor="text1"/>
                              </w:rPr>
                              <w:t xml:space="preserve">additional </w:t>
                            </w:r>
                            <w:r w:rsidR="00EA026A">
                              <w:rPr>
                                <w:i/>
                                <w:color w:val="000000" w:themeColor="text1"/>
                              </w:rPr>
                              <w:t>blue boxes that feature throughout the document, present a high-level summary of the discussions held at the Workshop on 20</w:t>
                            </w:r>
                            <w:r w:rsidR="00EA026A" w:rsidRPr="00EA026A">
                              <w:rPr>
                                <w:i/>
                                <w:color w:val="000000" w:themeColor="text1"/>
                                <w:vertAlign w:val="superscript"/>
                              </w:rPr>
                              <w:t>th</w:t>
                            </w:r>
                            <w:r w:rsidR="00EA026A">
                              <w:rPr>
                                <w:i/>
                                <w:color w:val="000000" w:themeColor="text1"/>
                              </w:rPr>
                              <w:t xml:space="preserve"> April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5149FD" id="Rectangle 3" o:spid="_x0000_s1026" style="width:48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oNlAIAAM4FAAAOAAAAZHJzL2Uyb0RvYy54bWysVG1v0zAQ/o7Ef7D8nSUpXQfV0qnaNIQ0&#10;2MSG9tl17CaS4zO226T8es52mpa9gIToh/R8L8/dPfbd+UXfKrIV1jWgS1qc5JQIzaFq9Lqk3x+u&#10;332gxHmmK6ZAi5LuhKMXi7dvzjszFxOoQVXCEgTRbt6Zktbem3mWOV6LlrkTMEKjUYJtmcejXWeV&#10;ZR2ityqb5Pks68BWxgIXzqH2KhnpIuJLKbi/ldIJT1RJsTYfvzZ+V+GbLc7ZfG2ZqRs+lMH+oYqW&#10;NRqTjlBXzDOysc0zqLbhFhxIf8KhzUDKhovYA3ZT5E+6ua+ZEbEXJMeZkSb3/2D51+29ubNIQ2fc&#10;3KEYuuilbcM/1kf6SNZuJEv0nnBUziZF/j5HTjnaZtOzM5QRJjtEG+v8JwEtCUJJLV5G5Ihtb5xP&#10;rnuXkMyBaqrrRql4CA9AXCpLtgyvjnEutC9iuNq0X6BK+lmOv3SJqMarTurpXo3VxKcUkGJtvyVR&#10;+m95V+tiaOooEEFDZHZgLEp+p0TAU/qbkKSpkKNJLHis4HkvrmaVSOrTV2uOgAFZIjkjdiLjFezE&#10;7uAfQkWchTE4/1NhKXiMiJlB+zG4bTTYlwAU3tCQOfnvSUrUBJZ8v+rRJYgrqHZ3llhIQ+kMv27w&#10;odww5++YxSnEt4Wbxd/iRyroSgqDREkN9udL+uCPw4FWSjqc6pK6HxtmBSXqs8ax+VhMp2ENxMP0&#10;9GyCB3tsWR1b9Ka9BHx9Be4ww6MY/L3ai9JC+4gLaBmyoolpjrlL6vfipU+7BhcYF8tldMLBN8zf&#10;6HvDA3SgN4zBQ//IrBlmxeOUfYX9/LP5k5FJviFSw3LjQTZxng6sDsTj0oivflhwYSsdn6PXYQ0v&#10;fgEAAP//AwBQSwMEFAAGAAgAAAAhACPu6FzcAAAABQEAAA8AAABkcnMvZG93bnJldi54bWxMj0FL&#10;xDAQhe+C/yGM4M1N7MHt1qaLLsiCerEriLe0GZuyzaQ02d3qr3f0opeBx3u8+V65nv0gjjjFPpCG&#10;64UCgdQG21On4XX3cJWDiMmQNUMg1PCJEdbV+VlpChtO9ILHOnWCSygWRoNLaSykjK1Db+IijEjs&#10;fYTJm8Ry6qSdzInL/SAzpW6kNz3xB2dG3Dhs9/XBa3h63ObT17us75ulW+2e3+p9tt1ofXkx392C&#10;SDinvzD84DM6VMzUhAPZKAYNPCT9XvZWy5xlwyGVKZBVKf/TV98AAAD//wMAUEsBAi0AFAAGAAgA&#10;AAAhALaDOJL+AAAA4QEAABMAAAAAAAAAAAAAAAAAAAAAAFtDb250ZW50X1R5cGVzXS54bWxQSwEC&#10;LQAUAAYACAAAACEAOP0h/9YAAACUAQAACwAAAAAAAAAAAAAAAAAvAQAAX3JlbHMvLnJlbHNQSwEC&#10;LQAUAAYACAAAACEAGgKaDZQCAADOBQAADgAAAAAAAAAAAAAAAAAuAgAAZHJzL2Uyb0RvYy54bWxQ&#10;SwECLQAUAAYACAAAACEAI+7oXNwAAAAFAQAADwAAAAAAAAAAAAAAAADuBAAAZHJzL2Rvd25yZXYu&#10;eG1sUEsFBgAAAAAEAAQA8wAAAPcFAAAAAA==&#10;" fillcolor="#9cc2e5 [1940]" strokecolor="white [3212]" strokeweight="1pt">
                <v:textbox>
                  <w:txbxContent>
                    <w:p w14:paraId="22695579" w14:textId="4C4CBAAB" w:rsidR="00EA026A" w:rsidRDefault="00866269" w:rsidP="00EA026A">
                      <w:pPr>
                        <w:rPr>
                          <w:i/>
                          <w:color w:val="000000" w:themeColor="text1"/>
                        </w:rPr>
                      </w:pPr>
                      <w:r>
                        <w:rPr>
                          <w:i/>
                          <w:color w:val="000000" w:themeColor="text1"/>
                        </w:rPr>
                        <w:t xml:space="preserve">The bulk of the text in this document is unchanged from v1. </w:t>
                      </w:r>
                      <w:r w:rsidR="00216E68">
                        <w:rPr>
                          <w:i/>
                          <w:color w:val="000000" w:themeColor="text1"/>
                        </w:rPr>
                        <w:t xml:space="preserve"> </w:t>
                      </w:r>
                      <w:r w:rsidR="00EA026A">
                        <w:rPr>
                          <w:i/>
                          <w:color w:val="000000" w:themeColor="text1"/>
                        </w:rPr>
                        <w:t xml:space="preserve">The </w:t>
                      </w:r>
                      <w:r>
                        <w:rPr>
                          <w:i/>
                          <w:color w:val="000000" w:themeColor="text1"/>
                        </w:rPr>
                        <w:t xml:space="preserve">additional </w:t>
                      </w:r>
                      <w:r w:rsidR="00EA026A">
                        <w:rPr>
                          <w:i/>
                          <w:color w:val="000000" w:themeColor="text1"/>
                        </w:rPr>
                        <w:t>blue boxes that feature throughout the document, present a high-level summary of the discussions held at the Workshop on 20</w:t>
                      </w:r>
                      <w:r w:rsidR="00EA026A" w:rsidRPr="00EA026A">
                        <w:rPr>
                          <w:i/>
                          <w:color w:val="000000" w:themeColor="text1"/>
                          <w:vertAlign w:val="superscript"/>
                        </w:rPr>
                        <w:t>th</w:t>
                      </w:r>
                      <w:r w:rsidR="00EA026A">
                        <w:rPr>
                          <w:i/>
                          <w:color w:val="000000" w:themeColor="text1"/>
                        </w:rPr>
                        <w:t xml:space="preserve"> April 2022.</w:t>
                      </w:r>
                    </w:p>
                  </w:txbxContent>
                </v:textbox>
                <w10:anchorlock/>
              </v:rect>
            </w:pict>
          </mc:Fallback>
        </mc:AlternateContent>
      </w:r>
    </w:p>
    <w:p w14:paraId="62D2F92F" w14:textId="77777777" w:rsidR="00831D3C" w:rsidRDefault="00D567C6" w:rsidP="00AA2E8D">
      <w:pPr>
        <w:jc w:val="both"/>
      </w:pPr>
      <w:r>
        <w:t>The aim of Reference Hydrological Networks (RHNs) is to observe the effect of variations in climate on hydrology (Stahl et al., 2010).</w:t>
      </w:r>
      <w:r w:rsidR="000E3181">
        <w:t xml:space="preserve"> </w:t>
      </w:r>
      <w:r>
        <w:t xml:space="preserve"> To do this RHNs need to be defined </w:t>
      </w:r>
      <w:r w:rsidR="00831D3C">
        <w:t xml:space="preserve">based on catchments with </w:t>
      </w:r>
      <w:r>
        <w:t>stable conditions which have as little human influence as possible</w:t>
      </w:r>
      <w:r w:rsidR="00831D3C">
        <w:t>, and which are gauged by stations producing reliable streamflow data.</w:t>
      </w:r>
      <w:r w:rsidR="000E3181">
        <w:t xml:space="preserve"> </w:t>
      </w:r>
      <w:r w:rsidR="00831D3C">
        <w:t xml:space="preserve"> This is to prevent spurious trends resulting from human impacts (e.g., abstractions/withdrawals, reservoir operations) or poor-quality data (e.g., step changes due to instrument changes) </w:t>
      </w:r>
      <w:r>
        <w:t xml:space="preserve">(Whitfield et al., 2012). </w:t>
      </w:r>
    </w:p>
    <w:p w14:paraId="07DFD1C6" w14:textId="08791B1A" w:rsidR="00831D3C" w:rsidRDefault="00831D3C" w:rsidP="00AA2E8D">
      <w:pPr>
        <w:jc w:val="both"/>
      </w:pPr>
      <w:r>
        <w:t xml:space="preserve">The ROBIN project aims to develop a global RHN network. </w:t>
      </w:r>
      <w:r w:rsidR="000E3181">
        <w:t xml:space="preserve"> </w:t>
      </w:r>
      <w:r>
        <w:t>While RHNs are well established in many countries (</w:t>
      </w:r>
      <w:r w:rsidR="00C95D85">
        <w:t xml:space="preserve">e.g., </w:t>
      </w:r>
      <w:r>
        <w:t xml:space="preserve">see Whitfield et al. 2012, Burn et al. 2012), in many, others’ efforts to establish RHNs </w:t>
      </w:r>
      <w:r w:rsidR="00470C55">
        <w:t xml:space="preserve">are at early stages, or </w:t>
      </w:r>
      <w:r>
        <w:t xml:space="preserve">have not commenced. </w:t>
      </w:r>
      <w:r w:rsidR="000E3181">
        <w:t xml:space="preserve"> </w:t>
      </w:r>
      <w:r>
        <w:t xml:space="preserve">Members of </w:t>
      </w:r>
      <w:r w:rsidR="00C95D85">
        <w:t>the ROBIN Network</w:t>
      </w:r>
      <w:r>
        <w:t xml:space="preserve"> have already led some efforts to establish networks of RHN catchments, or at least RHN-like catchments, across international boundaries (e.g., Stahl et al. 2010; </w:t>
      </w:r>
      <w:proofErr w:type="spellStart"/>
      <w:r>
        <w:t>Hodgkins</w:t>
      </w:r>
      <w:proofErr w:type="spellEnd"/>
      <w:r>
        <w:t xml:space="preserve"> et al. 2017).</w:t>
      </w:r>
      <w:r w:rsidR="000E3181">
        <w:t xml:space="preserve"> </w:t>
      </w:r>
      <w:r>
        <w:t xml:space="preserve"> </w:t>
      </w:r>
      <w:r w:rsidR="00470C55">
        <w:t>In such ventures, it has often proved difficult to develop a suitable set of criteria for inclusion of sites – not least because there are very different definitions of what constitutes a ‘</w:t>
      </w:r>
      <w:r w:rsidR="00E21AA3">
        <w:t xml:space="preserve">natural’ </w:t>
      </w:r>
      <w:r w:rsidR="00470C55">
        <w:t>catchment and ‘good quality data’</w:t>
      </w:r>
      <w:r w:rsidR="00E21AA3">
        <w:t xml:space="preserve"> between (and even within) countries</w:t>
      </w:r>
      <w:r w:rsidR="00470C55">
        <w:t xml:space="preserve">. </w:t>
      </w:r>
      <w:r w:rsidR="000E3181">
        <w:t xml:space="preserve"> </w:t>
      </w:r>
      <w:r w:rsidR="00E21AA3">
        <w:t xml:space="preserve">In some parts of the world RHNs can be based on truly ‘pristine’ unaltered catchments, whereas in </w:t>
      </w:r>
      <w:proofErr w:type="gramStart"/>
      <w:r w:rsidR="00E21AA3">
        <w:t>a majority of</w:t>
      </w:r>
      <w:proofErr w:type="gramEnd"/>
      <w:r w:rsidR="00E21AA3">
        <w:t xml:space="preserve"> localities, some degree of human disturbance must be tolerated. </w:t>
      </w:r>
      <w:r w:rsidR="000E3181">
        <w:t xml:space="preserve"> </w:t>
      </w:r>
      <w:r w:rsidR="00470C55">
        <w:t xml:space="preserve">Moreover, there is always a trade-off between </w:t>
      </w:r>
      <w:r w:rsidR="00E21AA3">
        <w:t xml:space="preserve">having exacting RHN criteria, </w:t>
      </w:r>
      <w:proofErr w:type="gramStart"/>
      <w:r w:rsidR="00E21AA3">
        <w:t>which by definition, results</w:t>
      </w:r>
      <w:proofErr w:type="gramEnd"/>
      <w:r w:rsidR="00E21AA3">
        <w:t xml:space="preserve"> in a limited number of sites and ensuring good coverage and representativeness of the network. </w:t>
      </w:r>
    </w:p>
    <w:p w14:paraId="7CB8C335" w14:textId="3088A948" w:rsidR="00D567C6" w:rsidRDefault="00D567C6" w:rsidP="00AA2E8D">
      <w:pPr>
        <w:jc w:val="both"/>
      </w:pPr>
      <w:r>
        <w:t xml:space="preserve">Within ROBIN we aim to balance the need </w:t>
      </w:r>
      <w:r w:rsidR="00E21AA3">
        <w:t>for near-natural</w:t>
      </w:r>
      <w:r>
        <w:t xml:space="preserve"> catchments against network </w:t>
      </w:r>
      <w:r w:rsidR="00E21AA3">
        <w:t xml:space="preserve">density, </w:t>
      </w:r>
      <w:r>
        <w:t>and therefore propose a</w:t>
      </w:r>
      <w:r w:rsidR="00E21AA3">
        <w:t>n inclusive</w:t>
      </w:r>
      <w:r>
        <w:t xml:space="preserve"> two-level approach to gauging stations within the ROBIN Network.</w:t>
      </w:r>
    </w:p>
    <w:p w14:paraId="42D3B0DA" w14:textId="47781DA8" w:rsidR="00D567C6" w:rsidRDefault="00D567C6" w:rsidP="00AA2E8D">
      <w:pPr>
        <w:jc w:val="both"/>
      </w:pPr>
      <w:r>
        <w:t xml:space="preserve">Data from Level 1 gauging stations would be directed towards analysis of extreme flows </w:t>
      </w:r>
      <w:r w:rsidR="002A6C2B">
        <w:t xml:space="preserve">(both high and low) </w:t>
      </w:r>
      <w:r>
        <w:t xml:space="preserve">where the highest quality </w:t>
      </w:r>
      <w:r w:rsidR="00C95D85">
        <w:t xml:space="preserve">and most complete </w:t>
      </w:r>
      <w:r>
        <w:t xml:space="preserve">data from </w:t>
      </w:r>
      <w:r w:rsidR="00E21AA3">
        <w:t>‘</w:t>
      </w:r>
      <w:r>
        <w:t>pristine</w:t>
      </w:r>
      <w:r w:rsidR="00E21AA3">
        <w:t>’</w:t>
      </w:r>
      <w:r>
        <w:t xml:space="preserve"> catchments</w:t>
      </w:r>
      <w:r w:rsidR="00E21AA3">
        <w:t xml:space="preserve"> (or as close to this as possible)</w:t>
      </w:r>
      <w:r>
        <w:t xml:space="preserve"> will be required</w:t>
      </w:r>
      <w:r w:rsidR="002A6C2B">
        <w:t>.  D</w:t>
      </w:r>
      <w:r>
        <w:t>ata from Level 2 gauging stations would be used for analysis of less sensitive hydrological variables such as monthly</w:t>
      </w:r>
      <w:r w:rsidR="002A6C2B">
        <w:t xml:space="preserve">, </w:t>
      </w:r>
      <w:proofErr w:type="gramStart"/>
      <w:r w:rsidR="002A6C2B">
        <w:t>seasonal</w:t>
      </w:r>
      <w:proofErr w:type="gramEnd"/>
      <w:r w:rsidR="002A6C2B">
        <w:t xml:space="preserve"> or annual</w:t>
      </w:r>
      <w:r>
        <w:t xml:space="preserve"> mean flows and water balance</w:t>
      </w:r>
      <w:r w:rsidR="002A6C2B">
        <w:t>s</w:t>
      </w:r>
      <w:r>
        <w:t xml:space="preserve">. </w:t>
      </w:r>
    </w:p>
    <w:p w14:paraId="199FDBA5" w14:textId="498A3F6C" w:rsidR="00D567C6" w:rsidRDefault="00D567C6" w:rsidP="00AA2E8D">
      <w:pPr>
        <w:jc w:val="both"/>
      </w:pPr>
      <w:r>
        <w:t xml:space="preserve">The two levels are intended to give a more flexible approach to balance the requirements of robust data analysis with good coverage of global geographies and hydrological regimes. </w:t>
      </w:r>
      <w:r w:rsidR="000E3181">
        <w:t xml:space="preserve"> </w:t>
      </w:r>
      <w:r>
        <w:t>In the case of Level 1 criteria, they are heavily influenced by those used in the Low Flows Study (</w:t>
      </w:r>
      <w:proofErr w:type="spellStart"/>
      <w:r>
        <w:t>Hodgkins</w:t>
      </w:r>
      <w:proofErr w:type="spellEnd"/>
      <w:r>
        <w:t xml:space="preserve"> et al., in prep).</w:t>
      </w:r>
      <w:r w:rsidR="000E3181">
        <w:t xml:space="preserve"> </w:t>
      </w:r>
      <w:r w:rsidR="002A6C2B">
        <w:t xml:space="preserve"> An open question (for discussion in ROBIN) is whether to also define Level 1 catchments as being suitable for high flows, which would mean the ROBIN network has higher overall utility in future but would mean more effort in the short term. </w:t>
      </w:r>
      <w:r w:rsidR="00C95D85">
        <w:t>It is anticipated that this will be addressed in the analysis phase of ROBIN, when the impact of the criteria on the analysis can be assessed.</w:t>
      </w:r>
    </w:p>
    <w:p w14:paraId="61D53BCC" w14:textId="77777777" w:rsidR="009757E8" w:rsidRDefault="009757E8" w:rsidP="009757E8">
      <w:pPr>
        <w:pStyle w:val="Heading1"/>
        <w:jc w:val="both"/>
      </w:pPr>
      <w:r>
        <w:lastRenderedPageBreak/>
        <w:t>ROBIN Network Criteria Summary</w:t>
      </w:r>
    </w:p>
    <w:p w14:paraId="15B7FE7B" w14:textId="270B39A6" w:rsidR="00C95D85" w:rsidRDefault="009757E8" w:rsidP="00AA2E8D">
      <w:pPr>
        <w:jc w:val="both"/>
      </w:pPr>
      <w:r>
        <w:t xml:space="preserve">The ROBIN Network Criteria is summarised below, and the four </w:t>
      </w:r>
      <w:r w:rsidR="00C95D85">
        <w:t xml:space="preserve">elements that make up the </w:t>
      </w:r>
      <w:r w:rsidR="00D567C6">
        <w:t xml:space="preserve">criteria, and these </w:t>
      </w:r>
      <w:r>
        <w:t>are</w:t>
      </w:r>
      <w:r w:rsidR="00D567C6">
        <w:t xml:space="preserve"> briefly explored</w:t>
      </w:r>
      <w:r w:rsidR="00C95D85">
        <w:t xml:space="preserve"> in the sections</w:t>
      </w:r>
      <w:r w:rsidR="00D567C6">
        <w:t xml:space="preserve"> below</w:t>
      </w:r>
      <w:r w:rsidR="00C95D85">
        <w:t>:</w:t>
      </w:r>
    </w:p>
    <w:p w14:paraId="0FBCB792" w14:textId="5E60C754" w:rsidR="00C95D85" w:rsidRDefault="00FD34E9" w:rsidP="00D535FB">
      <w:pPr>
        <w:pStyle w:val="ListParagraph"/>
        <w:numPr>
          <w:ilvl w:val="0"/>
          <w:numId w:val="1"/>
        </w:numPr>
        <w:jc w:val="both"/>
      </w:pPr>
      <w:hyperlink w:anchor="_Catchment_Development_and" w:history="1">
        <w:r w:rsidR="00C95D85" w:rsidRPr="00C95D85">
          <w:rPr>
            <w:rStyle w:val="Hyperlink"/>
          </w:rPr>
          <w:t>Catchment development and artificial influences</w:t>
        </w:r>
      </w:hyperlink>
      <w:r w:rsidR="00C95D85">
        <w:t xml:space="preserve"> </w:t>
      </w:r>
    </w:p>
    <w:p w14:paraId="3C3E7428" w14:textId="1F3F3EA6" w:rsidR="00C95D85" w:rsidRDefault="00FD34E9" w:rsidP="00D535FB">
      <w:pPr>
        <w:pStyle w:val="ListParagraph"/>
        <w:numPr>
          <w:ilvl w:val="0"/>
          <w:numId w:val="1"/>
        </w:numPr>
        <w:jc w:val="both"/>
      </w:pPr>
      <w:hyperlink w:anchor="_Data_Quality" w:history="1">
        <w:r w:rsidR="00C95D85" w:rsidRPr="00C95D85">
          <w:rPr>
            <w:rStyle w:val="Hyperlink"/>
          </w:rPr>
          <w:t>Data quality</w:t>
        </w:r>
      </w:hyperlink>
    </w:p>
    <w:p w14:paraId="3A096B6D" w14:textId="3AF206EA" w:rsidR="00C95D85" w:rsidRDefault="00FD34E9" w:rsidP="00D535FB">
      <w:pPr>
        <w:pStyle w:val="ListParagraph"/>
        <w:numPr>
          <w:ilvl w:val="0"/>
          <w:numId w:val="1"/>
        </w:numPr>
        <w:jc w:val="both"/>
      </w:pPr>
      <w:hyperlink w:anchor="_Record_Length" w:history="1">
        <w:r w:rsidR="00C95D85" w:rsidRPr="00C95D85">
          <w:rPr>
            <w:rStyle w:val="Hyperlink"/>
          </w:rPr>
          <w:t>Record length</w:t>
        </w:r>
      </w:hyperlink>
      <w:r w:rsidR="00C95D85">
        <w:t xml:space="preserve"> </w:t>
      </w:r>
    </w:p>
    <w:p w14:paraId="4D4C3CE7" w14:textId="0F171A73" w:rsidR="00C95D85" w:rsidRDefault="00FD34E9" w:rsidP="00D535FB">
      <w:pPr>
        <w:pStyle w:val="ListParagraph"/>
        <w:numPr>
          <w:ilvl w:val="0"/>
          <w:numId w:val="1"/>
        </w:numPr>
        <w:jc w:val="both"/>
      </w:pPr>
      <w:hyperlink w:anchor="_Missing_data" w:history="1">
        <w:r w:rsidR="00C95D85" w:rsidRPr="00C95D85">
          <w:rPr>
            <w:rStyle w:val="Hyperlink"/>
          </w:rPr>
          <w:t>Missing data</w:t>
        </w:r>
      </w:hyperlink>
    </w:p>
    <w:p w14:paraId="42BC72A3" w14:textId="6D878930" w:rsidR="00D567C6" w:rsidRDefault="00D567C6" w:rsidP="00AA2E8D">
      <w:pPr>
        <w:jc w:val="both"/>
      </w:pPr>
      <w:r>
        <w:t xml:space="preserve">The criteria are in many ways qualitative in their nature which </w:t>
      </w:r>
      <w:r w:rsidR="00C95D85">
        <w:t>allows for</w:t>
      </w:r>
      <w:r>
        <w:t xml:space="preserve"> a degree of flexibility in station inclusion, and we accept that compromise may be required to ensure there is a geographically representative network for the globe. </w:t>
      </w:r>
      <w:r w:rsidR="000E3181">
        <w:t xml:space="preserve"> </w:t>
      </w:r>
      <w:r w:rsidR="009757E8">
        <w:t>The l</w:t>
      </w:r>
      <w:r>
        <w:t>ocal knowledge</w:t>
      </w:r>
      <w:r w:rsidR="009757E8">
        <w:t xml:space="preserve"> of the ROBIN Partners</w:t>
      </w:r>
      <w:r>
        <w:t xml:space="preserve"> </w:t>
      </w:r>
      <w:r w:rsidR="00C95D85">
        <w:t>is</w:t>
      </w:r>
      <w:r>
        <w:t xml:space="preserve"> key to ensuring the network is representative and the inclusion of stations is appropriate.</w:t>
      </w:r>
    </w:p>
    <w:p w14:paraId="5FC526E9" w14:textId="7E174B1E" w:rsidR="00C95D85" w:rsidRPr="00D535FB" w:rsidRDefault="009757E8" w:rsidP="00C95D85">
      <w:pPr>
        <w:jc w:val="both"/>
        <w:rPr>
          <w:b/>
        </w:rPr>
      </w:pPr>
      <w:r w:rsidRPr="00D535FB">
        <w:rPr>
          <w:b/>
        </w:rPr>
        <w:t>ROBIN Network Criteria Summary</w:t>
      </w:r>
    </w:p>
    <w:tbl>
      <w:tblPr>
        <w:tblStyle w:val="TableGrid"/>
        <w:tblW w:w="0" w:type="auto"/>
        <w:tblLook w:val="04A0" w:firstRow="1" w:lastRow="0" w:firstColumn="1" w:lastColumn="0" w:noHBand="0" w:noVBand="1"/>
      </w:tblPr>
      <w:tblGrid>
        <w:gridCol w:w="4508"/>
        <w:gridCol w:w="4508"/>
      </w:tblGrid>
      <w:tr w:rsidR="00C95D85" w:rsidRPr="00D567C6" w14:paraId="077D7A6C" w14:textId="77777777" w:rsidTr="00AF116D">
        <w:tc>
          <w:tcPr>
            <w:tcW w:w="4508" w:type="dxa"/>
          </w:tcPr>
          <w:p w14:paraId="2972A84A" w14:textId="77777777" w:rsidR="00C95D85" w:rsidRPr="00D567C6" w:rsidRDefault="00C95D85" w:rsidP="00AF116D">
            <w:pPr>
              <w:jc w:val="both"/>
              <w:rPr>
                <w:b/>
              </w:rPr>
            </w:pPr>
            <w:r w:rsidRPr="00D567C6">
              <w:rPr>
                <w:b/>
              </w:rPr>
              <w:t>Level 1 Network</w:t>
            </w:r>
          </w:p>
        </w:tc>
        <w:tc>
          <w:tcPr>
            <w:tcW w:w="4508" w:type="dxa"/>
          </w:tcPr>
          <w:p w14:paraId="2EAEEB16" w14:textId="77777777" w:rsidR="00C95D85" w:rsidRPr="00D567C6" w:rsidRDefault="00C95D85" w:rsidP="00AF116D">
            <w:pPr>
              <w:jc w:val="both"/>
              <w:rPr>
                <w:b/>
              </w:rPr>
            </w:pPr>
            <w:r w:rsidRPr="00D567C6">
              <w:rPr>
                <w:b/>
              </w:rPr>
              <w:t>Level 2 Network</w:t>
            </w:r>
          </w:p>
        </w:tc>
      </w:tr>
      <w:tr w:rsidR="00C95D85" w:rsidRPr="00D567C6" w14:paraId="3886AFBA" w14:textId="77777777" w:rsidTr="00AF116D">
        <w:tc>
          <w:tcPr>
            <w:tcW w:w="4508" w:type="dxa"/>
          </w:tcPr>
          <w:p w14:paraId="73CE2306" w14:textId="77777777" w:rsidR="00C95D85" w:rsidRPr="00D567C6" w:rsidRDefault="00C95D85" w:rsidP="00AF116D">
            <w:pPr>
              <w:jc w:val="both"/>
            </w:pPr>
            <w:r>
              <w:t xml:space="preserve">Largely free from human disturbances such as urbanisation (≤ 10% of the catchment), river engineering and water abstractions.  Modest net impact of all influences on low flows and high flows and any impacts stable over time.  No known major changes in land use likely to impact streamflow regime.  </w:t>
            </w:r>
          </w:p>
        </w:tc>
        <w:tc>
          <w:tcPr>
            <w:tcW w:w="4508" w:type="dxa"/>
          </w:tcPr>
          <w:p w14:paraId="46229A4F" w14:textId="77777777" w:rsidR="00C95D85" w:rsidRPr="00D567C6" w:rsidRDefault="00C95D85" w:rsidP="00AF116D">
            <w:pPr>
              <w:jc w:val="both"/>
            </w:pPr>
            <w:r>
              <w:t>Fairly free from human disturbances such as urbanisation (≤ 20% of the catchment), river engineering and water abstractions.  Modest net impact of all influences on monthly and annual flows and any impacts stable over time.</w:t>
            </w:r>
          </w:p>
        </w:tc>
      </w:tr>
      <w:tr w:rsidR="00C95D85" w:rsidRPr="00D567C6" w14:paraId="53FF5BFB" w14:textId="77777777" w:rsidTr="00AF116D">
        <w:tc>
          <w:tcPr>
            <w:tcW w:w="4508" w:type="dxa"/>
          </w:tcPr>
          <w:p w14:paraId="2210430C" w14:textId="10A193FE" w:rsidR="00C95D85" w:rsidRPr="00D567C6" w:rsidRDefault="00C95D85" w:rsidP="00AF116D">
            <w:pPr>
              <w:jc w:val="both"/>
            </w:pPr>
            <w:r>
              <w:t xml:space="preserve">Very </w:t>
            </w:r>
            <w:r w:rsidR="005F369F">
              <w:t>high-quality</w:t>
            </w:r>
            <w:r>
              <w:t xml:space="preserve"> daily mean river flow data capable of reliably representing high and low flows.  Appropriate metadata.</w:t>
            </w:r>
          </w:p>
        </w:tc>
        <w:tc>
          <w:tcPr>
            <w:tcW w:w="4508" w:type="dxa"/>
          </w:tcPr>
          <w:p w14:paraId="64E8D9FB" w14:textId="77777777" w:rsidR="00C95D85" w:rsidRPr="00D567C6" w:rsidRDefault="00C95D85" w:rsidP="00AF116D">
            <w:pPr>
              <w:jc w:val="both"/>
            </w:pPr>
            <w:r>
              <w:t>High to fair quality daily mean river flow data capable of reliably representing monthly average flow conditions with appropriate metadata.</w:t>
            </w:r>
          </w:p>
        </w:tc>
      </w:tr>
      <w:tr w:rsidR="00C95D85" w:rsidRPr="00D567C6" w14:paraId="1CFF22E9" w14:textId="77777777" w:rsidTr="00AF116D">
        <w:tc>
          <w:tcPr>
            <w:tcW w:w="4508" w:type="dxa"/>
          </w:tcPr>
          <w:p w14:paraId="0678984F" w14:textId="77777777" w:rsidR="00C95D85" w:rsidRPr="00D567C6" w:rsidRDefault="00C95D85" w:rsidP="00AF116D">
            <w:pPr>
              <w:jc w:val="both"/>
            </w:pPr>
            <w:r w:rsidRPr="00D567C6">
              <w:t>Record length of at least 40 years</w:t>
            </w:r>
          </w:p>
        </w:tc>
        <w:tc>
          <w:tcPr>
            <w:tcW w:w="4508" w:type="dxa"/>
          </w:tcPr>
          <w:p w14:paraId="5B77C64B" w14:textId="77777777" w:rsidR="00C95D85" w:rsidRPr="00D567C6" w:rsidRDefault="00C95D85" w:rsidP="00AF116D">
            <w:pPr>
              <w:jc w:val="both"/>
            </w:pPr>
            <w:r w:rsidRPr="00D567C6">
              <w:t>Record length of at least 20 years</w:t>
            </w:r>
          </w:p>
        </w:tc>
      </w:tr>
      <w:tr w:rsidR="00CF7736" w:rsidRPr="00D567C6" w14:paraId="0BB369A2" w14:textId="77777777" w:rsidTr="00D85444">
        <w:tc>
          <w:tcPr>
            <w:tcW w:w="4508" w:type="dxa"/>
          </w:tcPr>
          <w:p w14:paraId="4CD501DB" w14:textId="77777777" w:rsidR="00CF7736" w:rsidRPr="00D567C6" w:rsidRDefault="00CF7736" w:rsidP="00AF116D">
            <w:pPr>
              <w:jc w:val="both"/>
            </w:pPr>
            <w:r>
              <w:t>No data gaps longer than three years.</w:t>
            </w:r>
          </w:p>
        </w:tc>
        <w:tc>
          <w:tcPr>
            <w:tcW w:w="4508" w:type="dxa"/>
          </w:tcPr>
          <w:p w14:paraId="02EAFB32" w14:textId="2D52C193" w:rsidR="00CF7736" w:rsidRPr="00D567C6" w:rsidRDefault="00CF7736" w:rsidP="00AF116D">
            <w:pPr>
              <w:jc w:val="both"/>
            </w:pPr>
            <w:r>
              <w:t>n/a</w:t>
            </w:r>
          </w:p>
        </w:tc>
      </w:tr>
    </w:tbl>
    <w:p w14:paraId="58A76CEF" w14:textId="77777777" w:rsidR="00C95D85" w:rsidRDefault="00C95D85" w:rsidP="00AA2E8D">
      <w:pPr>
        <w:jc w:val="both"/>
      </w:pPr>
    </w:p>
    <w:p w14:paraId="03586430" w14:textId="1250E241" w:rsidR="00D567C6" w:rsidRDefault="00D567C6" w:rsidP="00AA2E8D">
      <w:pPr>
        <w:pStyle w:val="Heading1"/>
        <w:jc w:val="both"/>
      </w:pPr>
      <w:bookmarkStart w:id="0" w:name="_Catchment_Development_and"/>
      <w:bookmarkEnd w:id="0"/>
      <w:r>
        <w:t>Catchment Development and Artificial Influences</w:t>
      </w:r>
    </w:p>
    <w:p w14:paraId="5A684BA0" w14:textId="30C10420" w:rsidR="002A6C2B" w:rsidRDefault="00D567C6" w:rsidP="00AA2E8D">
      <w:pPr>
        <w:jc w:val="both"/>
      </w:pPr>
      <w:r>
        <w:t xml:space="preserve">To detect climate-driven trends we need to analyse river basins that are undisturbed by human impacts. </w:t>
      </w:r>
      <w:r w:rsidR="000E3181">
        <w:t xml:space="preserve"> </w:t>
      </w:r>
      <w:r>
        <w:t xml:space="preserve">Ideally catchments should be pristine but </w:t>
      </w:r>
      <w:r w:rsidR="00E21AA3">
        <w:t xml:space="preserve">can </w:t>
      </w:r>
      <w:r>
        <w:t xml:space="preserve">be considered </w:t>
      </w:r>
      <w:r w:rsidR="00E21AA3">
        <w:t xml:space="preserve">‘near </w:t>
      </w:r>
      <w:r>
        <w:t>natural</w:t>
      </w:r>
      <w:r w:rsidR="00E21AA3">
        <w:t>’</w:t>
      </w:r>
      <w:r>
        <w:t xml:space="preserve"> if reasonably free from human disturbances such as urbanisation, river engineering and water abstractions and therefore represent a natural flow regime </w:t>
      </w:r>
      <w:r w:rsidR="00E21AA3">
        <w:t xml:space="preserve">such that </w:t>
      </w:r>
      <w:r>
        <w:t xml:space="preserve">the effects of climate-driven changes in river flow can be </w:t>
      </w:r>
      <w:r w:rsidR="00E21AA3">
        <w:t xml:space="preserve">discerned from the noise of more direct human influences. </w:t>
      </w:r>
    </w:p>
    <w:p w14:paraId="33634266" w14:textId="77C8115E" w:rsidR="00D567C6" w:rsidRDefault="00E21AA3" w:rsidP="00AA2E8D">
      <w:pPr>
        <w:jc w:val="both"/>
      </w:pPr>
      <w:r>
        <w:t>In many RHN</w:t>
      </w:r>
      <w:r w:rsidR="005A68C8">
        <w:t xml:space="preserve"> init</w:t>
      </w:r>
      <w:r>
        <w:t>i</w:t>
      </w:r>
      <w:r w:rsidR="005A68C8">
        <w:t>a</w:t>
      </w:r>
      <w:r>
        <w:t>tives,</w:t>
      </w:r>
      <w:r w:rsidR="005A68C8">
        <w:t xml:space="preserve"> including the UK Benchmark Network,</w:t>
      </w:r>
      <w:r>
        <w:t xml:space="preserve"> a pragmatic approach has been taken where some degree of influence is tolerated, provided that the river approximates a natural regime – influences should still be modest, have a limited net impact on flows (</w:t>
      </w:r>
      <w:r w:rsidR="002A6C2B">
        <w:t xml:space="preserve">water </w:t>
      </w:r>
      <w:r>
        <w:t xml:space="preserve">abstractions and </w:t>
      </w:r>
      <w:r w:rsidR="002A6C2B">
        <w:t xml:space="preserve">returns, e.g. sewage treatment </w:t>
      </w:r>
      <w:r>
        <w:t>discharges</w:t>
      </w:r>
      <w:r w:rsidR="002A6C2B">
        <w:t>,</w:t>
      </w:r>
      <w:r>
        <w:t xml:space="preserve"> can be tolerated provided the </w:t>
      </w:r>
      <w:r w:rsidRPr="6307F8B1">
        <w:rPr>
          <w:i/>
          <w:iCs/>
        </w:rPr>
        <w:t>net</w:t>
      </w:r>
      <w:r>
        <w:t xml:space="preserve"> effect is modest) and ideally any influen</w:t>
      </w:r>
      <w:r w:rsidR="005A68C8">
        <w:t xml:space="preserve">ces should be stable over time </w:t>
      </w:r>
      <w:r w:rsidR="00D567C6">
        <w:t>(Harrigan et al., 2018).</w:t>
      </w:r>
      <w:r w:rsidR="000E3181">
        <w:t xml:space="preserve"> </w:t>
      </w:r>
      <w:r>
        <w:t xml:space="preserve"> </w:t>
      </w:r>
      <w:r w:rsidR="002A6C2B">
        <w:t>R</w:t>
      </w:r>
      <w:r>
        <w:t xml:space="preserve">ecognising the challenges of </w:t>
      </w:r>
      <w:r w:rsidR="005A68C8">
        <w:t xml:space="preserve">finding stations that are suitably natural across the flow range, the UK has adopted ‘sub-networks’ of the RHN suitable for </w:t>
      </w:r>
      <w:r w:rsidR="00D567C6">
        <w:t xml:space="preserve">analysing high and average flows but not low flows </w:t>
      </w:r>
      <w:r w:rsidR="002A6C2B">
        <w:t xml:space="preserve">(and vice versa) </w:t>
      </w:r>
      <w:r w:rsidR="00D567C6">
        <w:t xml:space="preserve">for example. </w:t>
      </w:r>
    </w:p>
    <w:p w14:paraId="7F72ECCA" w14:textId="77777777" w:rsidR="00AA2E8D" w:rsidRDefault="005A68C8" w:rsidP="00AA2E8D">
      <w:pPr>
        <w:jc w:val="both"/>
      </w:pPr>
      <w:r>
        <w:t xml:space="preserve">Hence, for ROBIN, the </w:t>
      </w:r>
      <w:r w:rsidR="00D567C6">
        <w:t xml:space="preserve">impact of catchment development and artificial influences on the catchment should be minimal or at least stable although this should be based on judgement and local expertise. </w:t>
      </w:r>
      <w:r w:rsidR="000E3181">
        <w:t xml:space="preserve"> </w:t>
      </w:r>
      <w:r w:rsidR="00D567C6">
        <w:t xml:space="preserve">We acknowledge definitions of near-natural are likely to differ country-to-country and to some extent that there is a limitation </w:t>
      </w:r>
      <w:r w:rsidR="00D567C6">
        <w:lastRenderedPageBreak/>
        <w:t>of the number of catchments that could be called legitimately pristine due to them being situated in or near populated areas.</w:t>
      </w:r>
      <w:r w:rsidR="000E3181">
        <w:t xml:space="preserve"> </w:t>
      </w:r>
      <w:r>
        <w:t xml:space="preserve"> We propose different criteria for the two levels, with Level 1 being the closest to approximating ‘pristine’ conditions and analogous to previous international efforts (</w:t>
      </w:r>
      <w:proofErr w:type="spellStart"/>
      <w:r>
        <w:t>Hodgkins</w:t>
      </w:r>
      <w:proofErr w:type="spellEnd"/>
      <w:r>
        <w:t xml:space="preserve"> et al. 2017; </w:t>
      </w:r>
      <w:proofErr w:type="spellStart"/>
      <w:r>
        <w:t>Hodgkins</w:t>
      </w:r>
      <w:proofErr w:type="spellEnd"/>
      <w:r>
        <w:t xml:space="preserve"> in prep). </w:t>
      </w:r>
      <w:r w:rsidR="000E3181">
        <w:t xml:space="preserve"> </w:t>
      </w:r>
      <w:r>
        <w:t xml:space="preserve">Level 1 is designed to enable the analysis of extremes including low and high flows, whereas Level 2 the analysis of variables such as monthly and annual averages. </w:t>
      </w:r>
    </w:p>
    <w:p w14:paraId="1673D543" w14:textId="19DEE7C8" w:rsidR="00031B7D" w:rsidRDefault="00866269" w:rsidP="00AA2E8D">
      <w:pPr>
        <w:jc w:val="both"/>
      </w:pPr>
      <w:r>
        <w:rPr>
          <w:noProof/>
          <w:lang w:eastAsia="en-GB"/>
        </w:rPr>
        <mc:AlternateContent>
          <mc:Choice Requires="wps">
            <w:drawing>
              <wp:inline distT="0" distB="0" distL="0" distR="0" wp14:anchorId="1A26FE69" wp14:editId="1A0BFD8F">
                <wp:extent cx="6181725" cy="3562709"/>
                <wp:effectExtent l="0" t="0" r="28575" b="19050"/>
                <wp:docPr id="4" name="Rectangle 4"/>
                <wp:cNvGraphicFramePr/>
                <a:graphic xmlns:a="http://schemas.openxmlformats.org/drawingml/2006/main">
                  <a:graphicData uri="http://schemas.microsoft.com/office/word/2010/wordprocessingShape">
                    <wps:wsp>
                      <wps:cNvSpPr/>
                      <wps:spPr>
                        <a:xfrm>
                          <a:off x="0" y="0"/>
                          <a:ext cx="6181725" cy="3562709"/>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D0AD8" w14:textId="4B9FE5C6" w:rsidR="00866269" w:rsidRPr="00A82754" w:rsidRDefault="00652FC4" w:rsidP="00866269">
                            <w:pPr>
                              <w:rPr>
                                <w:i/>
                                <w:color w:val="000000" w:themeColor="text1"/>
                              </w:rPr>
                            </w:pPr>
                            <w:r>
                              <w:rPr>
                                <w:i/>
                                <w:color w:val="000000" w:themeColor="text1"/>
                              </w:rPr>
                              <w:t>Summary of w</w:t>
                            </w:r>
                            <w:r w:rsidR="00866269" w:rsidRPr="00A82754">
                              <w:rPr>
                                <w:i/>
                                <w:color w:val="000000" w:themeColor="text1"/>
                              </w:rPr>
                              <w:t>orkshop discussion</w:t>
                            </w:r>
                          </w:p>
                          <w:p w14:paraId="1E462A27" w14:textId="009DBDE0" w:rsidR="00866269" w:rsidRPr="00D535FB" w:rsidRDefault="00866269" w:rsidP="00D535FB">
                            <w:pPr>
                              <w:pStyle w:val="ListParagraph"/>
                              <w:numPr>
                                <w:ilvl w:val="0"/>
                                <w:numId w:val="2"/>
                              </w:numPr>
                              <w:ind w:left="426"/>
                              <w:rPr>
                                <w:color w:val="000000" w:themeColor="text1"/>
                              </w:rPr>
                            </w:pPr>
                            <w:r w:rsidRPr="00D535FB">
                              <w:rPr>
                                <w:color w:val="000000" w:themeColor="text1"/>
                              </w:rPr>
                              <w:t xml:space="preserve">It was noted that some gauging stations may be more suited to high flows or low flows for example as seen in Norway, </w:t>
                            </w:r>
                            <w:proofErr w:type="gramStart"/>
                            <w:r w:rsidRPr="00D535FB">
                              <w:rPr>
                                <w:color w:val="000000" w:themeColor="text1"/>
                              </w:rPr>
                              <w:t>Ireland</w:t>
                            </w:r>
                            <w:proofErr w:type="gramEnd"/>
                            <w:r w:rsidRPr="00D535FB">
                              <w:rPr>
                                <w:color w:val="000000" w:themeColor="text1"/>
                              </w:rPr>
                              <w:t xml:space="preserve"> and the UK.  It was agreed that stations could be included in the ROBIN Network if they were only suitable for one end of the flow regime</w:t>
                            </w:r>
                            <w:r w:rsidR="00252748" w:rsidRPr="00D535FB">
                              <w:rPr>
                                <w:color w:val="000000" w:themeColor="text1"/>
                              </w:rPr>
                              <w:t xml:space="preserve"> (i.e. high or low flows)</w:t>
                            </w:r>
                            <w:r w:rsidRPr="00D535FB">
                              <w:rPr>
                                <w:color w:val="000000" w:themeColor="text1"/>
                              </w:rPr>
                              <w:t xml:space="preserve">, </w:t>
                            </w:r>
                            <w:proofErr w:type="gramStart"/>
                            <w:r w:rsidRPr="00D535FB">
                              <w:rPr>
                                <w:color w:val="000000" w:themeColor="text1"/>
                              </w:rPr>
                              <w:t>as long as</w:t>
                            </w:r>
                            <w:proofErr w:type="gramEnd"/>
                            <w:r w:rsidRPr="00D535FB">
                              <w:rPr>
                                <w:color w:val="000000" w:themeColor="text1"/>
                              </w:rPr>
                              <w:t xml:space="preserve"> they were appropriately flagged in the relevant metadata. </w:t>
                            </w:r>
                            <w:r w:rsidR="00AA2E8D" w:rsidRPr="00D535FB">
                              <w:rPr>
                                <w:color w:val="000000" w:themeColor="text1"/>
                              </w:rPr>
                              <w:t xml:space="preserve"> </w:t>
                            </w:r>
                            <w:r w:rsidR="00252748" w:rsidRPr="00D535FB">
                              <w:rPr>
                                <w:color w:val="000000" w:themeColor="text1"/>
                              </w:rPr>
                              <w:t xml:space="preserve">See the </w:t>
                            </w:r>
                            <w:r w:rsidR="00271595">
                              <w:rPr>
                                <w:color w:val="000000" w:themeColor="text1"/>
                                <w:highlight w:val="yellow"/>
                              </w:rPr>
                              <w:t xml:space="preserve">ROBIN Data Submission document </w:t>
                            </w:r>
                            <w:r w:rsidR="00252748" w:rsidRPr="00D535FB">
                              <w:rPr>
                                <w:color w:val="000000" w:themeColor="text1"/>
                              </w:rPr>
                              <w:t xml:space="preserve">for more information on this. </w:t>
                            </w:r>
                          </w:p>
                          <w:p w14:paraId="6115E4F1" w14:textId="7296F8A8" w:rsidR="00AA2E8D" w:rsidRPr="00D535FB" w:rsidRDefault="00D535FB" w:rsidP="00D535FB">
                            <w:pPr>
                              <w:pStyle w:val="ListParagraph"/>
                              <w:numPr>
                                <w:ilvl w:val="0"/>
                                <w:numId w:val="2"/>
                              </w:numPr>
                              <w:ind w:left="426"/>
                              <w:rPr>
                                <w:color w:val="000000" w:themeColor="text1"/>
                              </w:rPr>
                            </w:pPr>
                            <w:r>
                              <w:rPr>
                                <w:color w:val="000000" w:themeColor="text1"/>
                              </w:rPr>
                              <w:t xml:space="preserve">In some </w:t>
                            </w:r>
                            <w:proofErr w:type="gramStart"/>
                            <w:r>
                              <w:rPr>
                                <w:color w:val="000000" w:themeColor="text1"/>
                              </w:rPr>
                              <w:t>cases</w:t>
                            </w:r>
                            <w:proofErr w:type="gramEnd"/>
                            <w:r>
                              <w:rPr>
                                <w:color w:val="000000" w:themeColor="text1"/>
                              </w:rPr>
                              <w:t xml:space="preserve"> summer low flows are also affected be vegetation growth and this can be highlighted within the data flags if available or within the </w:t>
                            </w:r>
                            <w:proofErr w:type="spellStart"/>
                            <w:r>
                              <w:rPr>
                                <w:color w:val="000000" w:themeColor="text1"/>
                              </w:rPr>
                              <w:t>freetext</w:t>
                            </w:r>
                            <w:proofErr w:type="spellEnd"/>
                            <w:r>
                              <w:rPr>
                                <w:color w:val="000000" w:themeColor="text1"/>
                              </w:rPr>
                              <w:t xml:space="preserve"> comments box in the metadata.</w:t>
                            </w:r>
                          </w:p>
                          <w:p w14:paraId="12202E73" w14:textId="019E49CA" w:rsidR="00AA2E8D" w:rsidRPr="00D535FB" w:rsidRDefault="00AA2E8D" w:rsidP="00D535FB">
                            <w:pPr>
                              <w:pStyle w:val="ListParagraph"/>
                              <w:numPr>
                                <w:ilvl w:val="0"/>
                                <w:numId w:val="2"/>
                              </w:numPr>
                              <w:ind w:left="426"/>
                              <w:rPr>
                                <w:color w:val="000000" w:themeColor="text1"/>
                              </w:rPr>
                            </w:pPr>
                            <w:r w:rsidRPr="00D535FB">
                              <w:rPr>
                                <w:color w:val="000000" w:themeColor="text1"/>
                              </w:rPr>
                              <w:t>It could be interesting to have s</w:t>
                            </w:r>
                            <w:r w:rsidR="00216E68" w:rsidRPr="00D535FB">
                              <w:rPr>
                                <w:color w:val="000000" w:themeColor="text1"/>
                              </w:rPr>
                              <w:t>o</w:t>
                            </w:r>
                            <w:r w:rsidRPr="00D535FB">
                              <w:rPr>
                                <w:color w:val="000000" w:themeColor="text1"/>
                              </w:rPr>
                              <w:t xml:space="preserve">me criteria </w:t>
                            </w:r>
                            <w:r w:rsidR="00833400">
                              <w:rPr>
                                <w:color w:val="000000" w:themeColor="text1"/>
                              </w:rPr>
                              <w:t>to answer the question</w:t>
                            </w:r>
                            <w:r w:rsidRPr="00D535FB">
                              <w:rPr>
                                <w:color w:val="000000" w:themeColor="text1"/>
                              </w:rPr>
                              <w:t xml:space="preserve"> ‘When is the data good enough for low flows/flood analysis?’</w:t>
                            </w:r>
                            <w:r w:rsidR="00833400">
                              <w:rPr>
                                <w:color w:val="000000" w:themeColor="text1"/>
                              </w:rPr>
                              <w:t xml:space="preserve"> However, this is</w:t>
                            </w:r>
                            <w:r w:rsidRPr="00D535FB">
                              <w:rPr>
                                <w:color w:val="000000" w:themeColor="text1"/>
                              </w:rPr>
                              <w:t xml:space="preserve"> difficult in practice and may often be determined on a </w:t>
                            </w:r>
                            <w:proofErr w:type="gramStart"/>
                            <w:r w:rsidRPr="00D535FB">
                              <w:rPr>
                                <w:color w:val="000000" w:themeColor="text1"/>
                              </w:rPr>
                              <w:t>site by site</w:t>
                            </w:r>
                            <w:proofErr w:type="gramEnd"/>
                            <w:r w:rsidRPr="00D535FB">
                              <w:rPr>
                                <w:color w:val="000000" w:themeColor="text1"/>
                              </w:rPr>
                              <w:t xml:space="preserve"> basis</w:t>
                            </w:r>
                            <w:r w:rsidR="00833400">
                              <w:rPr>
                                <w:color w:val="000000" w:themeColor="text1"/>
                              </w:rPr>
                              <w:t>; a</w:t>
                            </w:r>
                            <w:r w:rsidRPr="00D535FB">
                              <w:rPr>
                                <w:color w:val="000000" w:themeColor="text1"/>
                              </w:rPr>
                              <w:t xml:space="preserve">n example is that </w:t>
                            </w:r>
                            <w:r w:rsidR="00833400">
                              <w:rPr>
                                <w:color w:val="000000" w:themeColor="text1"/>
                              </w:rPr>
                              <w:t>for the UK Benchmark Network</w:t>
                            </w:r>
                            <w:r w:rsidRPr="00D535FB">
                              <w:rPr>
                                <w:color w:val="000000" w:themeColor="text1"/>
                              </w:rPr>
                              <w:t xml:space="preserve"> Q95 should be within 10% of the natural value</w:t>
                            </w:r>
                            <w:r w:rsidR="00833400">
                              <w:rPr>
                                <w:color w:val="000000" w:themeColor="text1"/>
                              </w:rPr>
                              <w:t>. W</w:t>
                            </w:r>
                            <w:r w:rsidRPr="00D535FB">
                              <w:rPr>
                                <w:color w:val="000000" w:themeColor="text1"/>
                              </w:rPr>
                              <w:t>ithout specific local knowledge of the gauge this is hard to determine – it may be useful to share how different countries make these assessments.</w:t>
                            </w:r>
                          </w:p>
                          <w:p w14:paraId="00E35AC0" w14:textId="21F7B514" w:rsidR="00216E68" w:rsidRPr="00D535FB" w:rsidRDefault="00216E68" w:rsidP="00D535FB">
                            <w:pPr>
                              <w:pStyle w:val="ListParagraph"/>
                              <w:numPr>
                                <w:ilvl w:val="0"/>
                                <w:numId w:val="2"/>
                              </w:numPr>
                              <w:ind w:left="426"/>
                              <w:rPr>
                                <w:color w:val="000000" w:themeColor="text1"/>
                              </w:rPr>
                            </w:pPr>
                            <w:r w:rsidRPr="00D535FB">
                              <w:rPr>
                                <w:color w:val="000000" w:themeColor="text1"/>
                              </w:rPr>
                              <w:t xml:space="preserve">It was noted that the assessment of catchment development and artificial influences </w:t>
                            </w:r>
                            <w:r w:rsidR="00833400">
                              <w:rPr>
                                <w:color w:val="000000" w:themeColor="text1"/>
                              </w:rPr>
                              <w:t>is likely to</w:t>
                            </w:r>
                            <w:r w:rsidR="00833400" w:rsidRPr="00D535FB">
                              <w:rPr>
                                <w:color w:val="000000" w:themeColor="text1"/>
                              </w:rPr>
                              <w:t xml:space="preserve"> </w:t>
                            </w:r>
                            <w:r w:rsidRPr="00D535FB">
                              <w:rPr>
                                <w:color w:val="000000" w:themeColor="text1"/>
                              </w:rPr>
                              <w:t>be subjective from country to country</w:t>
                            </w:r>
                            <w:r w:rsidR="00833400">
                              <w:rPr>
                                <w:color w:val="000000" w:themeColor="text1"/>
                              </w:rPr>
                              <w:t xml:space="preserve">. However, given the </w:t>
                            </w:r>
                            <w:r w:rsidR="005F369F">
                              <w:rPr>
                                <w:color w:val="000000" w:themeColor="text1"/>
                              </w:rPr>
                              <w:t xml:space="preserve">challenges </w:t>
                            </w:r>
                            <w:r w:rsidR="005F369F" w:rsidRPr="00D535FB">
                              <w:rPr>
                                <w:color w:val="000000" w:themeColor="text1"/>
                              </w:rPr>
                              <w:t>in</w:t>
                            </w:r>
                            <w:r w:rsidR="00833400">
                              <w:rPr>
                                <w:color w:val="000000" w:themeColor="text1"/>
                              </w:rPr>
                              <w:t xml:space="preserve"> </w:t>
                            </w:r>
                            <w:r w:rsidRPr="00D535FB">
                              <w:rPr>
                                <w:color w:val="000000" w:themeColor="text1"/>
                              </w:rPr>
                              <w:t>apply</w:t>
                            </w:r>
                            <w:r w:rsidR="00833400">
                              <w:rPr>
                                <w:color w:val="000000" w:themeColor="text1"/>
                              </w:rPr>
                              <w:t>ing</w:t>
                            </w:r>
                            <w:r w:rsidRPr="00D535FB">
                              <w:rPr>
                                <w:color w:val="000000" w:themeColor="text1"/>
                              </w:rPr>
                              <w:t xml:space="preserve"> a </w:t>
                            </w:r>
                            <w:r w:rsidR="00833400">
                              <w:rPr>
                                <w:color w:val="000000" w:themeColor="text1"/>
                              </w:rPr>
                              <w:t xml:space="preserve">standardised and </w:t>
                            </w:r>
                            <w:r w:rsidRPr="00D535FB">
                              <w:rPr>
                                <w:color w:val="000000" w:themeColor="text1"/>
                              </w:rPr>
                              <w:t>simple set of rules</w:t>
                            </w:r>
                            <w:r w:rsidR="00833400">
                              <w:rPr>
                                <w:color w:val="000000" w:themeColor="text1"/>
                              </w:rPr>
                              <w:t xml:space="preserve"> and thresholds</w:t>
                            </w:r>
                            <w:r w:rsidRPr="00D535FB">
                              <w:rPr>
                                <w:color w:val="000000" w:themeColor="text1"/>
                              </w:rPr>
                              <w:t xml:space="preserve"> globally as there </w:t>
                            </w:r>
                            <w:r w:rsidR="00833400">
                              <w:rPr>
                                <w:color w:val="000000" w:themeColor="text1"/>
                              </w:rPr>
                              <w:t>lots of</w:t>
                            </w:r>
                            <w:r w:rsidRPr="00D535FB">
                              <w:rPr>
                                <w:color w:val="000000" w:themeColor="text1"/>
                              </w:rPr>
                              <w:t xml:space="preserve"> different circumstances</w:t>
                            </w:r>
                            <w:r w:rsidR="00833400">
                              <w:rPr>
                                <w:color w:val="000000" w:themeColor="text1"/>
                              </w:rPr>
                              <w:t>. Within ROBIN we feel that the best approach is</w:t>
                            </w:r>
                            <w:r w:rsidRPr="00D535FB">
                              <w:rPr>
                                <w:color w:val="000000" w:themeColor="text1"/>
                              </w:rPr>
                              <w:t xml:space="preserve"> to rely on the judgement of local data collectors and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A26FE69" id="Rectangle 4" o:spid="_x0000_s1027" style="width:486.75pt;height:2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0TmwIAANYFAAAOAAAAZHJzL2Uyb0RvYy54bWysVNtu2zAMfR+wfxD0vtrOkrQN6hRBiw4D&#10;urZYN/RZkaXYgCxqkhIn+/pRkuNkvWzAsDw4FC+H5JHIi8ttq8hGWNeALmlxklMiNIeq0auSfv92&#10;8+GMEueZrpgCLUq6E45ezt+/u+jMTIygBlUJSxBEu1lnSlp7b2ZZ5ngtWuZOwAiNRgm2ZR6PdpVV&#10;lnWI3qpslOfTrANbGQtcOIfa62Sk84gvpeD+XkonPFElxdp8/Nr4XYZvNr9gs5Vlpm54Xwb7hypa&#10;1mhMOkBdM8/I2jYvoNqGW3Ag/QmHNgMpGy5iD9hNkT/r5rFmRsRekBxnBprc/4Pld5tH82CRhs64&#10;mUMxdLGVtg3/WB/ZRrJ2A1li6wlH5bQ4K05HE0o42j5OpqPT/DzQmR3CjXX+k4CWBKGkFm8jksQ2&#10;t84n171LyOZANdVNo1Q8hBcgrpQlG4Z3xzgX2hcxXK3bL1Al/TTHX7pFVONdJ/V4r8Zq4lsKSLG2&#10;35Io/be8y1XRN3UUiKAhMjtQFiW/UyLgKf1VSNJUSNIoFjxU8LIXV7NKJPXkzZojYECWSM6Anch4&#10;Azux2/uHUBGHYQjO/1RYCh4iYmbQfghuGw32NQCFN9RnTv57khI1gSW/XW6RG9wVwTNollDtHiyx&#10;kIbTGX7T4Hu5Zc4/MIvTiHOLG8bf40cq6EoKvURJDfbna/rgj0OCVko6nO6Suh9rZgUl6rPG8Tkv&#10;xuOwDuJhPDkd4cEeW5bHFr1urwAfYYG7zPAoBn+v9qK00D7hIlqErGhimmPukvq9eOXTzsFFxsVi&#10;EZ1wARjmb/Wj4QE6sBym4dv2iVnTj4zHabuD/R5gs2eTk3xDpIbF2oNs4lgdWO35x+URH3+/6MJ2&#10;Oj5Hr8M6nv8CAAD//wMAUEsDBBQABgAIAAAAIQDQEomC3wAAAAUBAAAPAAAAZHJzL2Rvd25yZXYu&#10;eG1sTI/NasMwEITvgb6D2EJvieyU/LmWQxsogTaXOIXSm2xtLRNrZSQlcfv0VXtJLwvDDDPf5uvB&#10;dOyMzreWBKSTBBhSbVVLjYC3w/N4CcwHSUp2llDAF3pYFzejXGbKXmiP5zI0LJaQz6QAHUKfce5r&#10;jUb6ie2RovdpnZEhStdw5eQllpuOT5Nkzo1sKS5o2eNGY30sT0bA68t26b4/ePlULfTqsHsvj9Pt&#10;Roi72+HxAVjAIVzD8Isf0aGITJU9kfKsExAfCX83eqvF/QxYJWA2T1PgRc7/0xc/AAAA//8DAFBL&#10;AQItABQABgAIAAAAIQC2gziS/gAAAOEBAAATAAAAAAAAAAAAAAAAAAAAAABbQ29udGVudF9UeXBl&#10;c10ueG1sUEsBAi0AFAAGAAgAAAAhADj9If/WAAAAlAEAAAsAAAAAAAAAAAAAAAAALwEAAF9yZWxz&#10;Ly5yZWxzUEsBAi0AFAAGAAgAAAAhAG4aHRObAgAA1gUAAA4AAAAAAAAAAAAAAAAALgIAAGRycy9l&#10;Mm9Eb2MueG1sUEsBAi0AFAAGAAgAAAAhANASiYLfAAAABQEAAA8AAAAAAAAAAAAAAAAA9QQAAGRy&#10;cy9kb3ducmV2LnhtbFBLBQYAAAAABAAEAPMAAAABBgAAAAA=&#10;" fillcolor="#9cc2e5 [1940]" strokecolor="white [3212]" strokeweight="1pt">
                <v:textbox>
                  <w:txbxContent>
                    <w:p w14:paraId="34BD0AD8" w14:textId="4B9FE5C6" w:rsidR="00866269" w:rsidRPr="00A82754" w:rsidRDefault="00652FC4" w:rsidP="00866269">
                      <w:pPr>
                        <w:rPr>
                          <w:i/>
                          <w:color w:val="000000" w:themeColor="text1"/>
                        </w:rPr>
                      </w:pPr>
                      <w:r>
                        <w:rPr>
                          <w:i/>
                          <w:color w:val="000000" w:themeColor="text1"/>
                        </w:rPr>
                        <w:t>Summary of w</w:t>
                      </w:r>
                      <w:r w:rsidR="00866269" w:rsidRPr="00A82754">
                        <w:rPr>
                          <w:i/>
                          <w:color w:val="000000" w:themeColor="text1"/>
                        </w:rPr>
                        <w:t>orkshop discussion</w:t>
                      </w:r>
                    </w:p>
                    <w:p w14:paraId="1E462A27" w14:textId="009DBDE0" w:rsidR="00866269" w:rsidRPr="00D535FB" w:rsidRDefault="00866269" w:rsidP="00D535FB">
                      <w:pPr>
                        <w:pStyle w:val="ListParagraph"/>
                        <w:numPr>
                          <w:ilvl w:val="0"/>
                          <w:numId w:val="2"/>
                        </w:numPr>
                        <w:ind w:left="426"/>
                        <w:rPr>
                          <w:color w:val="000000" w:themeColor="text1"/>
                        </w:rPr>
                      </w:pPr>
                      <w:r w:rsidRPr="00D535FB">
                        <w:rPr>
                          <w:color w:val="000000" w:themeColor="text1"/>
                        </w:rPr>
                        <w:t xml:space="preserve">It was noted that some gauging stations may be more suited to high flows or low flows for example as seen in Norway, </w:t>
                      </w:r>
                      <w:proofErr w:type="gramStart"/>
                      <w:r w:rsidRPr="00D535FB">
                        <w:rPr>
                          <w:color w:val="000000" w:themeColor="text1"/>
                        </w:rPr>
                        <w:t>Ireland</w:t>
                      </w:r>
                      <w:proofErr w:type="gramEnd"/>
                      <w:r w:rsidRPr="00D535FB">
                        <w:rPr>
                          <w:color w:val="000000" w:themeColor="text1"/>
                        </w:rPr>
                        <w:t xml:space="preserve"> and the UK.  It was agreed that stations could be included in the ROBIN Network if they were only suitable for one end of the flow regime</w:t>
                      </w:r>
                      <w:r w:rsidR="00252748" w:rsidRPr="00D535FB">
                        <w:rPr>
                          <w:color w:val="000000" w:themeColor="text1"/>
                        </w:rPr>
                        <w:t xml:space="preserve"> (i.e. high or low flows)</w:t>
                      </w:r>
                      <w:r w:rsidRPr="00D535FB">
                        <w:rPr>
                          <w:color w:val="000000" w:themeColor="text1"/>
                        </w:rPr>
                        <w:t xml:space="preserve">, </w:t>
                      </w:r>
                      <w:proofErr w:type="gramStart"/>
                      <w:r w:rsidRPr="00D535FB">
                        <w:rPr>
                          <w:color w:val="000000" w:themeColor="text1"/>
                        </w:rPr>
                        <w:t>as long as</w:t>
                      </w:r>
                      <w:proofErr w:type="gramEnd"/>
                      <w:r w:rsidRPr="00D535FB">
                        <w:rPr>
                          <w:color w:val="000000" w:themeColor="text1"/>
                        </w:rPr>
                        <w:t xml:space="preserve"> they were appropriately flagged in the relevant metadata. </w:t>
                      </w:r>
                      <w:r w:rsidR="00AA2E8D" w:rsidRPr="00D535FB">
                        <w:rPr>
                          <w:color w:val="000000" w:themeColor="text1"/>
                        </w:rPr>
                        <w:t xml:space="preserve"> </w:t>
                      </w:r>
                      <w:r w:rsidR="00252748" w:rsidRPr="00D535FB">
                        <w:rPr>
                          <w:color w:val="000000" w:themeColor="text1"/>
                        </w:rPr>
                        <w:t xml:space="preserve">See the </w:t>
                      </w:r>
                      <w:r w:rsidR="00271595">
                        <w:rPr>
                          <w:color w:val="000000" w:themeColor="text1"/>
                          <w:highlight w:val="yellow"/>
                        </w:rPr>
                        <w:t xml:space="preserve">ROBIN Data Submission document </w:t>
                      </w:r>
                      <w:r w:rsidR="00252748" w:rsidRPr="00D535FB">
                        <w:rPr>
                          <w:color w:val="000000" w:themeColor="text1"/>
                        </w:rPr>
                        <w:t xml:space="preserve">for more information on this. </w:t>
                      </w:r>
                    </w:p>
                    <w:p w14:paraId="6115E4F1" w14:textId="7296F8A8" w:rsidR="00AA2E8D" w:rsidRPr="00D535FB" w:rsidRDefault="00D535FB" w:rsidP="00D535FB">
                      <w:pPr>
                        <w:pStyle w:val="ListParagraph"/>
                        <w:numPr>
                          <w:ilvl w:val="0"/>
                          <w:numId w:val="2"/>
                        </w:numPr>
                        <w:ind w:left="426"/>
                        <w:rPr>
                          <w:color w:val="000000" w:themeColor="text1"/>
                        </w:rPr>
                      </w:pPr>
                      <w:r>
                        <w:rPr>
                          <w:color w:val="000000" w:themeColor="text1"/>
                        </w:rPr>
                        <w:t xml:space="preserve">In some </w:t>
                      </w:r>
                      <w:proofErr w:type="gramStart"/>
                      <w:r>
                        <w:rPr>
                          <w:color w:val="000000" w:themeColor="text1"/>
                        </w:rPr>
                        <w:t>cases</w:t>
                      </w:r>
                      <w:proofErr w:type="gramEnd"/>
                      <w:r>
                        <w:rPr>
                          <w:color w:val="000000" w:themeColor="text1"/>
                        </w:rPr>
                        <w:t xml:space="preserve"> summer low flows are also affected be vegetation growth and this can be highlighted within the data flags if available or within the </w:t>
                      </w:r>
                      <w:proofErr w:type="spellStart"/>
                      <w:r>
                        <w:rPr>
                          <w:color w:val="000000" w:themeColor="text1"/>
                        </w:rPr>
                        <w:t>freetext</w:t>
                      </w:r>
                      <w:proofErr w:type="spellEnd"/>
                      <w:r>
                        <w:rPr>
                          <w:color w:val="000000" w:themeColor="text1"/>
                        </w:rPr>
                        <w:t xml:space="preserve"> comments box in the metadata.</w:t>
                      </w:r>
                    </w:p>
                    <w:p w14:paraId="12202E73" w14:textId="019E49CA" w:rsidR="00AA2E8D" w:rsidRPr="00D535FB" w:rsidRDefault="00AA2E8D" w:rsidP="00D535FB">
                      <w:pPr>
                        <w:pStyle w:val="ListParagraph"/>
                        <w:numPr>
                          <w:ilvl w:val="0"/>
                          <w:numId w:val="2"/>
                        </w:numPr>
                        <w:ind w:left="426"/>
                        <w:rPr>
                          <w:color w:val="000000" w:themeColor="text1"/>
                        </w:rPr>
                      </w:pPr>
                      <w:r w:rsidRPr="00D535FB">
                        <w:rPr>
                          <w:color w:val="000000" w:themeColor="text1"/>
                        </w:rPr>
                        <w:t>It could be interesting to have s</w:t>
                      </w:r>
                      <w:r w:rsidR="00216E68" w:rsidRPr="00D535FB">
                        <w:rPr>
                          <w:color w:val="000000" w:themeColor="text1"/>
                        </w:rPr>
                        <w:t>o</w:t>
                      </w:r>
                      <w:r w:rsidRPr="00D535FB">
                        <w:rPr>
                          <w:color w:val="000000" w:themeColor="text1"/>
                        </w:rPr>
                        <w:t xml:space="preserve">me criteria </w:t>
                      </w:r>
                      <w:r w:rsidR="00833400">
                        <w:rPr>
                          <w:color w:val="000000" w:themeColor="text1"/>
                        </w:rPr>
                        <w:t>to answer the question</w:t>
                      </w:r>
                      <w:r w:rsidRPr="00D535FB">
                        <w:rPr>
                          <w:color w:val="000000" w:themeColor="text1"/>
                        </w:rPr>
                        <w:t xml:space="preserve"> ‘When is the data good enough for low flows/flood analysis?’</w:t>
                      </w:r>
                      <w:r w:rsidR="00833400">
                        <w:rPr>
                          <w:color w:val="000000" w:themeColor="text1"/>
                        </w:rPr>
                        <w:t xml:space="preserve"> However, this is</w:t>
                      </w:r>
                      <w:r w:rsidRPr="00D535FB">
                        <w:rPr>
                          <w:color w:val="000000" w:themeColor="text1"/>
                        </w:rPr>
                        <w:t xml:space="preserve"> difficult in practice and may often be determined on a </w:t>
                      </w:r>
                      <w:proofErr w:type="gramStart"/>
                      <w:r w:rsidRPr="00D535FB">
                        <w:rPr>
                          <w:color w:val="000000" w:themeColor="text1"/>
                        </w:rPr>
                        <w:t>site by site</w:t>
                      </w:r>
                      <w:proofErr w:type="gramEnd"/>
                      <w:r w:rsidRPr="00D535FB">
                        <w:rPr>
                          <w:color w:val="000000" w:themeColor="text1"/>
                        </w:rPr>
                        <w:t xml:space="preserve"> basis</w:t>
                      </w:r>
                      <w:r w:rsidR="00833400">
                        <w:rPr>
                          <w:color w:val="000000" w:themeColor="text1"/>
                        </w:rPr>
                        <w:t>; a</w:t>
                      </w:r>
                      <w:r w:rsidRPr="00D535FB">
                        <w:rPr>
                          <w:color w:val="000000" w:themeColor="text1"/>
                        </w:rPr>
                        <w:t xml:space="preserve">n example is that </w:t>
                      </w:r>
                      <w:r w:rsidR="00833400">
                        <w:rPr>
                          <w:color w:val="000000" w:themeColor="text1"/>
                        </w:rPr>
                        <w:t>for the UK Benchmark Network</w:t>
                      </w:r>
                      <w:r w:rsidRPr="00D535FB">
                        <w:rPr>
                          <w:color w:val="000000" w:themeColor="text1"/>
                        </w:rPr>
                        <w:t xml:space="preserve"> Q95 should be within 10% of the natural value</w:t>
                      </w:r>
                      <w:r w:rsidR="00833400">
                        <w:rPr>
                          <w:color w:val="000000" w:themeColor="text1"/>
                        </w:rPr>
                        <w:t>. W</w:t>
                      </w:r>
                      <w:r w:rsidRPr="00D535FB">
                        <w:rPr>
                          <w:color w:val="000000" w:themeColor="text1"/>
                        </w:rPr>
                        <w:t>ithout specific local knowledge of the gauge this is hard to determine – it may be useful to share how different countries make these assessments.</w:t>
                      </w:r>
                    </w:p>
                    <w:p w14:paraId="00E35AC0" w14:textId="21F7B514" w:rsidR="00216E68" w:rsidRPr="00D535FB" w:rsidRDefault="00216E68" w:rsidP="00D535FB">
                      <w:pPr>
                        <w:pStyle w:val="ListParagraph"/>
                        <w:numPr>
                          <w:ilvl w:val="0"/>
                          <w:numId w:val="2"/>
                        </w:numPr>
                        <w:ind w:left="426"/>
                        <w:rPr>
                          <w:color w:val="000000" w:themeColor="text1"/>
                        </w:rPr>
                      </w:pPr>
                      <w:r w:rsidRPr="00D535FB">
                        <w:rPr>
                          <w:color w:val="000000" w:themeColor="text1"/>
                        </w:rPr>
                        <w:t xml:space="preserve">It was noted that the assessment of catchment development and artificial influences </w:t>
                      </w:r>
                      <w:r w:rsidR="00833400">
                        <w:rPr>
                          <w:color w:val="000000" w:themeColor="text1"/>
                        </w:rPr>
                        <w:t>is likely to</w:t>
                      </w:r>
                      <w:r w:rsidR="00833400" w:rsidRPr="00D535FB">
                        <w:rPr>
                          <w:color w:val="000000" w:themeColor="text1"/>
                        </w:rPr>
                        <w:t xml:space="preserve"> </w:t>
                      </w:r>
                      <w:r w:rsidRPr="00D535FB">
                        <w:rPr>
                          <w:color w:val="000000" w:themeColor="text1"/>
                        </w:rPr>
                        <w:t>be subjective from country to country</w:t>
                      </w:r>
                      <w:r w:rsidR="00833400">
                        <w:rPr>
                          <w:color w:val="000000" w:themeColor="text1"/>
                        </w:rPr>
                        <w:t xml:space="preserve">. However, given the </w:t>
                      </w:r>
                      <w:r w:rsidR="005F369F">
                        <w:rPr>
                          <w:color w:val="000000" w:themeColor="text1"/>
                        </w:rPr>
                        <w:t xml:space="preserve">challenges </w:t>
                      </w:r>
                      <w:r w:rsidR="005F369F" w:rsidRPr="00D535FB">
                        <w:rPr>
                          <w:color w:val="000000" w:themeColor="text1"/>
                        </w:rPr>
                        <w:t>in</w:t>
                      </w:r>
                      <w:r w:rsidR="00833400">
                        <w:rPr>
                          <w:color w:val="000000" w:themeColor="text1"/>
                        </w:rPr>
                        <w:t xml:space="preserve"> </w:t>
                      </w:r>
                      <w:r w:rsidRPr="00D535FB">
                        <w:rPr>
                          <w:color w:val="000000" w:themeColor="text1"/>
                        </w:rPr>
                        <w:t>apply</w:t>
                      </w:r>
                      <w:r w:rsidR="00833400">
                        <w:rPr>
                          <w:color w:val="000000" w:themeColor="text1"/>
                        </w:rPr>
                        <w:t>ing</w:t>
                      </w:r>
                      <w:r w:rsidRPr="00D535FB">
                        <w:rPr>
                          <w:color w:val="000000" w:themeColor="text1"/>
                        </w:rPr>
                        <w:t xml:space="preserve"> a </w:t>
                      </w:r>
                      <w:r w:rsidR="00833400">
                        <w:rPr>
                          <w:color w:val="000000" w:themeColor="text1"/>
                        </w:rPr>
                        <w:t xml:space="preserve">standardised and </w:t>
                      </w:r>
                      <w:r w:rsidRPr="00D535FB">
                        <w:rPr>
                          <w:color w:val="000000" w:themeColor="text1"/>
                        </w:rPr>
                        <w:t>simple set of rules</w:t>
                      </w:r>
                      <w:r w:rsidR="00833400">
                        <w:rPr>
                          <w:color w:val="000000" w:themeColor="text1"/>
                        </w:rPr>
                        <w:t xml:space="preserve"> and thresholds</w:t>
                      </w:r>
                      <w:r w:rsidRPr="00D535FB">
                        <w:rPr>
                          <w:color w:val="000000" w:themeColor="text1"/>
                        </w:rPr>
                        <w:t xml:space="preserve"> globally as there </w:t>
                      </w:r>
                      <w:r w:rsidR="00833400">
                        <w:rPr>
                          <w:color w:val="000000" w:themeColor="text1"/>
                        </w:rPr>
                        <w:t>lots of</w:t>
                      </w:r>
                      <w:r w:rsidRPr="00D535FB">
                        <w:rPr>
                          <w:color w:val="000000" w:themeColor="text1"/>
                        </w:rPr>
                        <w:t xml:space="preserve"> different circumstances</w:t>
                      </w:r>
                      <w:r w:rsidR="00833400">
                        <w:rPr>
                          <w:color w:val="000000" w:themeColor="text1"/>
                        </w:rPr>
                        <w:t>. Within ROBIN we feel that the best approach is</w:t>
                      </w:r>
                      <w:r w:rsidRPr="00D535FB">
                        <w:rPr>
                          <w:color w:val="000000" w:themeColor="text1"/>
                        </w:rPr>
                        <w:t xml:space="preserve"> to rely on the judgement of local data collectors and users.</w:t>
                      </w:r>
                    </w:p>
                  </w:txbxContent>
                </v:textbox>
                <w10:anchorlock/>
              </v:rect>
            </w:pict>
          </mc:Fallback>
        </mc:AlternateContent>
      </w:r>
    </w:p>
    <w:tbl>
      <w:tblPr>
        <w:tblStyle w:val="TableGrid"/>
        <w:tblW w:w="9776" w:type="dxa"/>
        <w:tblLook w:val="04A0" w:firstRow="1" w:lastRow="0" w:firstColumn="1" w:lastColumn="0" w:noHBand="0" w:noVBand="1"/>
      </w:tblPr>
      <w:tblGrid>
        <w:gridCol w:w="4957"/>
        <w:gridCol w:w="4819"/>
      </w:tblGrid>
      <w:tr w:rsidR="00D664B2" w:rsidRPr="00D567C6" w14:paraId="172613AF" w14:textId="77777777" w:rsidTr="00CC10FE">
        <w:tc>
          <w:tcPr>
            <w:tcW w:w="9776" w:type="dxa"/>
            <w:gridSpan w:val="2"/>
          </w:tcPr>
          <w:p w14:paraId="65F22FF1" w14:textId="210664E0" w:rsidR="00D664B2" w:rsidRPr="00D567C6" w:rsidRDefault="00D664B2" w:rsidP="00D664B2">
            <w:pPr>
              <w:jc w:val="both"/>
              <w:rPr>
                <w:b/>
              </w:rPr>
            </w:pPr>
            <w:r w:rsidRPr="00D664B2">
              <w:rPr>
                <w:b/>
              </w:rPr>
              <w:t>Catchment Development and Artificial Influences</w:t>
            </w:r>
            <w:r>
              <w:rPr>
                <w:b/>
              </w:rPr>
              <w:t xml:space="preserve"> Criteria</w:t>
            </w:r>
          </w:p>
        </w:tc>
      </w:tr>
      <w:tr w:rsidR="00D567C6" w:rsidRPr="00D567C6" w14:paraId="30F37C93" w14:textId="77777777" w:rsidTr="00AA2E8D">
        <w:tc>
          <w:tcPr>
            <w:tcW w:w="4957" w:type="dxa"/>
          </w:tcPr>
          <w:p w14:paraId="529215A0" w14:textId="77777777" w:rsidR="00D567C6" w:rsidRPr="00D567C6" w:rsidRDefault="00D567C6" w:rsidP="00AA2E8D">
            <w:pPr>
              <w:jc w:val="both"/>
              <w:rPr>
                <w:b/>
              </w:rPr>
            </w:pPr>
            <w:r w:rsidRPr="00D567C6">
              <w:rPr>
                <w:b/>
              </w:rPr>
              <w:t>Level 1 Network</w:t>
            </w:r>
          </w:p>
        </w:tc>
        <w:tc>
          <w:tcPr>
            <w:tcW w:w="4819" w:type="dxa"/>
          </w:tcPr>
          <w:p w14:paraId="3B60A458" w14:textId="77777777" w:rsidR="00D567C6" w:rsidRPr="00D567C6" w:rsidRDefault="00D567C6" w:rsidP="00AA2E8D">
            <w:pPr>
              <w:jc w:val="both"/>
              <w:rPr>
                <w:b/>
              </w:rPr>
            </w:pPr>
            <w:r w:rsidRPr="00D567C6">
              <w:rPr>
                <w:b/>
              </w:rPr>
              <w:t>Level 2 Network</w:t>
            </w:r>
          </w:p>
        </w:tc>
      </w:tr>
      <w:tr w:rsidR="00D567C6" w:rsidRPr="00D567C6" w14:paraId="62EA9F46" w14:textId="77777777" w:rsidTr="00AA2E8D">
        <w:tc>
          <w:tcPr>
            <w:tcW w:w="4957" w:type="dxa"/>
          </w:tcPr>
          <w:p w14:paraId="3BCF6952" w14:textId="77777777" w:rsidR="00652FC4" w:rsidRDefault="005A68C8" w:rsidP="00AA2E8D">
            <w:r>
              <w:t xml:space="preserve">Largely </w:t>
            </w:r>
            <w:r w:rsidR="00D567C6">
              <w:t>free from human disturbances such as urbanisation</w:t>
            </w:r>
            <w:r w:rsidR="3296EA1C">
              <w:t xml:space="preserve"> (≤ 10% of the catchment)</w:t>
            </w:r>
            <w:r w:rsidR="00D567C6">
              <w:t>, river engineering and water abstractions</w:t>
            </w:r>
            <w:r w:rsidR="00866269">
              <w:t xml:space="preserve">.  </w:t>
            </w:r>
          </w:p>
          <w:p w14:paraId="1171629A" w14:textId="77777777" w:rsidR="00652FC4" w:rsidRDefault="00652FC4" w:rsidP="00AA2E8D"/>
          <w:p w14:paraId="4B626547" w14:textId="77777777" w:rsidR="00652FC4" w:rsidRDefault="005A68C8" w:rsidP="00AA2E8D">
            <w:r>
              <w:t>Modest net impact of all influences on low flows and high flows and any impacts stable over time</w:t>
            </w:r>
            <w:r w:rsidR="00866269">
              <w:t xml:space="preserve">.  </w:t>
            </w:r>
          </w:p>
          <w:p w14:paraId="1FB1A727" w14:textId="77777777" w:rsidR="00652FC4" w:rsidRDefault="00652FC4" w:rsidP="00AA2E8D"/>
          <w:p w14:paraId="5BE820F7" w14:textId="18D432E8" w:rsidR="00D567C6" w:rsidRPr="00D567C6" w:rsidRDefault="009B4073" w:rsidP="00AA2E8D">
            <w:r>
              <w:t>No known major changes in land use likely to impact streamflow regime</w:t>
            </w:r>
            <w:r w:rsidR="00866269">
              <w:t xml:space="preserve">.  </w:t>
            </w:r>
          </w:p>
        </w:tc>
        <w:tc>
          <w:tcPr>
            <w:tcW w:w="4819" w:type="dxa"/>
          </w:tcPr>
          <w:p w14:paraId="59337CF8" w14:textId="77777777" w:rsidR="00652FC4" w:rsidRDefault="00D567C6" w:rsidP="00AA2E8D">
            <w:r>
              <w:t>Fairly free from human disturbances such as urbanisation</w:t>
            </w:r>
            <w:r w:rsidR="3296EA1C">
              <w:t xml:space="preserve"> (≤ 20% of the catchment)</w:t>
            </w:r>
            <w:r>
              <w:t>, river engineering and water abstractions</w:t>
            </w:r>
            <w:r w:rsidR="00866269">
              <w:t xml:space="preserve">.  </w:t>
            </w:r>
          </w:p>
          <w:p w14:paraId="0C097040" w14:textId="77777777" w:rsidR="00652FC4" w:rsidRDefault="00652FC4" w:rsidP="00AA2E8D"/>
          <w:p w14:paraId="30020C8C" w14:textId="1D241369" w:rsidR="00D567C6" w:rsidRPr="00D567C6" w:rsidRDefault="005A68C8" w:rsidP="00AA2E8D">
            <w:r>
              <w:t>Modest net impact of all influences on monthly and annual flows and any impacts stable over time</w:t>
            </w:r>
            <w:r w:rsidR="00866269">
              <w:t xml:space="preserve">.  </w:t>
            </w:r>
          </w:p>
        </w:tc>
      </w:tr>
    </w:tbl>
    <w:p w14:paraId="5FF30DB5" w14:textId="3AB97882" w:rsidR="00D567C6" w:rsidRDefault="00D567C6" w:rsidP="00AA2E8D">
      <w:pPr>
        <w:pStyle w:val="Heading1"/>
        <w:jc w:val="both"/>
      </w:pPr>
      <w:bookmarkStart w:id="1" w:name="_Data_Quality"/>
      <w:bookmarkEnd w:id="1"/>
      <w:r>
        <w:t>Data Quality</w:t>
      </w:r>
    </w:p>
    <w:p w14:paraId="390C2A7E" w14:textId="0BE111C3" w:rsidR="00D567C6" w:rsidRDefault="00857111" w:rsidP="00AA2E8D">
      <w:pPr>
        <w:jc w:val="both"/>
      </w:pPr>
      <w:r>
        <w:t>Ideally, o</w:t>
      </w:r>
      <w:r w:rsidR="00D567C6">
        <w:t xml:space="preserve">nly stations that are considered to record </w:t>
      </w:r>
      <w:r>
        <w:t xml:space="preserve">high </w:t>
      </w:r>
      <w:r w:rsidR="00D567C6">
        <w:t xml:space="preserve">quality, fit-for-purpose </w:t>
      </w:r>
      <w:r>
        <w:t xml:space="preserve">streamflow data </w:t>
      </w:r>
      <w:r w:rsidR="00D567C6">
        <w:t>and adequate metadata should be considered for inclusion in the ROBIN Network</w:t>
      </w:r>
      <w:r w:rsidR="00866269">
        <w:t xml:space="preserve">.  </w:t>
      </w:r>
      <w:r>
        <w:t>Stations should also have homogeneous time series, i.e., there should not be major step-changes resulting from changes to gauging structures or instrumentation</w:t>
      </w:r>
      <w:r w:rsidR="00866269">
        <w:t>.</w:t>
      </w:r>
      <w:r w:rsidR="00775493">
        <w:t xml:space="preserve"> </w:t>
      </w:r>
      <w:r w:rsidR="00D567C6">
        <w:t xml:space="preserve">Definitions of data quality will be different in different </w:t>
      </w:r>
      <w:r>
        <w:t xml:space="preserve">countries (or regions within) </w:t>
      </w:r>
      <w:r w:rsidR="00D567C6">
        <w:t>depending on their circumstances and it is important to recognise that historical elements of records may reduce quality but still provide utility</w:t>
      </w:r>
      <w:r>
        <w:t xml:space="preserve"> by allowing much longer record lengths (see below)</w:t>
      </w:r>
      <w:r w:rsidR="00866269">
        <w:t xml:space="preserve">.  </w:t>
      </w:r>
      <w:r w:rsidR="00652FC4">
        <w:t>Assessment of data quality should be based on judgement and local expertise.  A flexible approach to this will be required within ROBIN.  T</w:t>
      </w:r>
      <w:r w:rsidR="009B4073">
        <w:t>he two levels</w:t>
      </w:r>
      <w:r w:rsidR="00652FC4">
        <w:t xml:space="preserve"> listed below</w:t>
      </w:r>
      <w:r w:rsidR="009B4073">
        <w:t xml:space="preserve"> have different criteria for data quality depending on the type of analysis each level is intended to support.</w:t>
      </w:r>
    </w:p>
    <w:p w14:paraId="1FB38249" w14:textId="60544E7D" w:rsidR="000E3181" w:rsidRDefault="00866269" w:rsidP="00AA2E8D">
      <w:pPr>
        <w:jc w:val="both"/>
      </w:pPr>
      <w:r>
        <w:rPr>
          <w:noProof/>
          <w:lang w:eastAsia="en-GB"/>
        </w:rPr>
        <w:lastRenderedPageBreak/>
        <mc:AlternateContent>
          <mc:Choice Requires="wps">
            <w:drawing>
              <wp:inline distT="0" distB="0" distL="0" distR="0" wp14:anchorId="5B35B98A" wp14:editId="3070814D">
                <wp:extent cx="6162675" cy="2777706"/>
                <wp:effectExtent l="0" t="0" r="28575" b="22860"/>
                <wp:docPr id="1" name="Rectangle 1"/>
                <wp:cNvGraphicFramePr/>
                <a:graphic xmlns:a="http://schemas.openxmlformats.org/drawingml/2006/main">
                  <a:graphicData uri="http://schemas.microsoft.com/office/word/2010/wordprocessingShape">
                    <wps:wsp>
                      <wps:cNvSpPr/>
                      <wps:spPr>
                        <a:xfrm>
                          <a:off x="0" y="0"/>
                          <a:ext cx="6162675" cy="2777706"/>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31308" w14:textId="117736DB" w:rsidR="00866269" w:rsidRPr="00A82754" w:rsidRDefault="00652FC4" w:rsidP="00866269">
                            <w:pPr>
                              <w:rPr>
                                <w:i/>
                                <w:color w:val="000000" w:themeColor="text1"/>
                              </w:rPr>
                            </w:pPr>
                            <w:r>
                              <w:rPr>
                                <w:i/>
                                <w:color w:val="000000" w:themeColor="text1"/>
                              </w:rPr>
                              <w:t>Summary of w</w:t>
                            </w:r>
                            <w:r w:rsidR="00866269" w:rsidRPr="00A82754">
                              <w:rPr>
                                <w:i/>
                                <w:color w:val="000000" w:themeColor="text1"/>
                              </w:rPr>
                              <w:t>orkshop discussion</w:t>
                            </w:r>
                          </w:p>
                          <w:p w14:paraId="3BBDD16E" w14:textId="7CD26113" w:rsidR="00866269" w:rsidRPr="00A82754" w:rsidRDefault="00866269" w:rsidP="00866269">
                            <w:pPr>
                              <w:rPr>
                                <w:color w:val="000000" w:themeColor="text1"/>
                              </w:rPr>
                            </w:pPr>
                            <w:r w:rsidRPr="00A82754">
                              <w:rPr>
                                <w:color w:val="000000" w:themeColor="text1"/>
                              </w:rPr>
                              <w:t>It was agreed that the stability of data quality is perhaps more important than it being better than it was in the past</w:t>
                            </w:r>
                            <w:r w:rsidR="00652FC4">
                              <w:rPr>
                                <w:color w:val="000000" w:themeColor="text1"/>
                              </w:rPr>
                              <w:t>. A</w:t>
                            </w:r>
                            <w:r w:rsidRPr="00A82754">
                              <w:rPr>
                                <w:color w:val="000000" w:themeColor="text1"/>
                              </w:rPr>
                              <w:t xml:space="preserve"> way of tracking this could be metadata and quality flags.</w:t>
                            </w:r>
                            <w:r>
                              <w:rPr>
                                <w:color w:val="000000" w:themeColor="text1"/>
                              </w:rPr>
                              <w:t xml:space="preserve"> </w:t>
                            </w:r>
                            <w:r w:rsidR="00216E68">
                              <w:rPr>
                                <w:color w:val="000000" w:themeColor="text1"/>
                              </w:rPr>
                              <w:t xml:space="preserve"> </w:t>
                            </w:r>
                            <w:r>
                              <w:rPr>
                                <w:color w:val="000000" w:themeColor="text1"/>
                              </w:rPr>
                              <w:t>Where there is a modest net disturbance it would be good to document this in the metadata.</w:t>
                            </w:r>
                            <w:r w:rsidR="00652FC4">
                              <w:rPr>
                                <w:color w:val="000000" w:themeColor="text1"/>
                              </w:rPr>
                              <w:t xml:space="preserve"> </w:t>
                            </w:r>
                          </w:p>
                          <w:p w14:paraId="7C183349" w14:textId="794F38C9" w:rsidR="00866269" w:rsidRDefault="00866269" w:rsidP="00866269">
                            <w:pPr>
                              <w:rPr>
                                <w:color w:val="000000" w:themeColor="text1"/>
                              </w:rPr>
                            </w:pPr>
                            <w:r w:rsidRPr="00A82754">
                              <w:rPr>
                                <w:color w:val="000000" w:themeColor="text1"/>
                              </w:rPr>
                              <w:t>The general approach to data quality will be for the criteria to be inclusi</w:t>
                            </w:r>
                            <w:r w:rsidR="00216E68">
                              <w:rPr>
                                <w:color w:val="000000" w:themeColor="text1"/>
                              </w:rPr>
                              <w:t xml:space="preserve">ve and a secondary level screening </w:t>
                            </w:r>
                            <w:r w:rsidRPr="00A82754">
                              <w:rPr>
                                <w:color w:val="000000" w:themeColor="text1"/>
                              </w:rPr>
                              <w:t xml:space="preserve">applied by the core analysis team can determine whether the stations are suitable for </w:t>
                            </w:r>
                            <w:r w:rsidR="00216E68">
                              <w:rPr>
                                <w:color w:val="000000" w:themeColor="text1"/>
                              </w:rPr>
                              <w:t>inclusion</w:t>
                            </w:r>
                            <w:r w:rsidRPr="00A82754">
                              <w:rPr>
                                <w:color w:val="000000" w:themeColor="text1"/>
                              </w:rPr>
                              <w:t xml:space="preserve"> for ROBIN analysis. </w:t>
                            </w:r>
                            <w:r w:rsidR="00216E68">
                              <w:rPr>
                                <w:color w:val="000000" w:themeColor="text1"/>
                              </w:rPr>
                              <w:t xml:space="preserve"> </w:t>
                            </w:r>
                            <w:r w:rsidRPr="00A82754">
                              <w:rPr>
                                <w:color w:val="000000" w:themeColor="text1"/>
                              </w:rPr>
                              <w:t xml:space="preserve">This will make the ROBIN Network </w:t>
                            </w:r>
                            <w:r>
                              <w:rPr>
                                <w:color w:val="000000" w:themeColor="text1"/>
                              </w:rPr>
                              <w:t>legacy</w:t>
                            </w:r>
                            <w:r w:rsidRPr="00A82754">
                              <w:rPr>
                                <w:color w:val="000000" w:themeColor="text1"/>
                              </w:rPr>
                              <w:t xml:space="preserve">, in general, more inclusive for future analyses (after all we don't know </w:t>
                            </w:r>
                            <w:r>
                              <w:rPr>
                                <w:color w:val="000000" w:themeColor="text1"/>
                              </w:rPr>
                              <w:t>researchers might want when they analyse the data in 10 years’ time!)</w:t>
                            </w:r>
                            <w:r w:rsidR="00652FC4">
                              <w:rPr>
                                <w:color w:val="000000" w:themeColor="text1"/>
                              </w:rPr>
                              <w:t xml:space="preserve">, </w:t>
                            </w:r>
                            <w:r w:rsidR="00216E68">
                              <w:rPr>
                                <w:color w:val="000000" w:themeColor="text1"/>
                              </w:rPr>
                              <w:t xml:space="preserve">we don’t want to </w:t>
                            </w:r>
                            <w:r w:rsidR="00652FC4">
                              <w:rPr>
                                <w:color w:val="000000" w:themeColor="text1"/>
                              </w:rPr>
                              <w:t xml:space="preserve">exclude </w:t>
                            </w:r>
                            <w:r w:rsidR="00216E68">
                              <w:rPr>
                                <w:color w:val="000000" w:themeColor="text1"/>
                              </w:rPr>
                              <w:t>data that may be useful</w:t>
                            </w:r>
                            <w:r w:rsidRPr="00A82754">
                              <w:rPr>
                                <w:color w:val="000000" w:themeColor="text1"/>
                              </w:rPr>
                              <w:t>.</w:t>
                            </w:r>
                          </w:p>
                          <w:p w14:paraId="19D07741" w14:textId="5473236E" w:rsidR="00216E68" w:rsidRPr="00A82754" w:rsidRDefault="00D664B2" w:rsidP="00866269">
                            <w:pPr>
                              <w:rPr>
                                <w:color w:val="000000" w:themeColor="text1"/>
                              </w:rPr>
                            </w:pPr>
                            <w:r>
                              <w:rPr>
                                <w:color w:val="000000" w:themeColor="text1"/>
                              </w:rPr>
                              <w:t>We discussed sharing knowledge and experiences within the ROBIN Network, including the production of guidance to help future countries identify suitable near-natural catchments. It was agree</w:t>
                            </w:r>
                            <w:r w:rsidR="00775493">
                              <w:rPr>
                                <w:color w:val="000000" w:themeColor="text1"/>
                              </w:rPr>
                              <w:t>d</w:t>
                            </w:r>
                            <w:r>
                              <w:rPr>
                                <w:color w:val="000000" w:themeColor="text1"/>
                              </w:rPr>
                              <w:t xml:space="preserve"> that i</w:t>
                            </w:r>
                            <w:r w:rsidR="00216E68">
                              <w:rPr>
                                <w:color w:val="000000" w:themeColor="text1"/>
                              </w:rPr>
                              <w:t xml:space="preserve">f there are certain sites that </w:t>
                            </w:r>
                            <w:r>
                              <w:rPr>
                                <w:color w:val="000000" w:themeColor="text1"/>
                              </w:rPr>
                              <w:t>are identified in</w:t>
                            </w:r>
                            <w:r w:rsidR="00216E68">
                              <w:rPr>
                                <w:color w:val="000000" w:themeColor="text1"/>
                              </w:rPr>
                              <w:t xml:space="preserve"> the station selection process that would be good to turn into a case study</w:t>
                            </w:r>
                            <w:r>
                              <w:rPr>
                                <w:color w:val="000000" w:themeColor="text1"/>
                              </w:rPr>
                              <w:t xml:space="preserve"> for a guidance document, the details can be passed to the UKCEH ROBIN team to include.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B35B98A" id="Rectangle 1" o:spid="_x0000_s1028" style="width:485.25pt;height:2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LAmQIAANYFAAAOAAAAZHJzL2Uyb0RvYy54bWysVE1v2zAMvQ/YfxB0X20HaboFdYqgRYcB&#10;XVusHXpWZCk2IIuapMTOfv0oyXGyfmzAMB9kiiIfySeR5xd9q8hWWNeALmlxklMiNIeq0euSfn+8&#10;/vCREueZrpgCLUq6E45eLN6/O+/MXEygBlUJSxBEu3lnSlp7b+ZZ5ngtWuZOwAiNhxJsyzxu7Tqr&#10;LOsQvVXZJM9nWQe2Mha4cA61V+mQLiK+lIL7Oymd8ESVFHPzcbVxXYU1W5yz+doyUzd8SIP9QxYt&#10;azQGHaGumGdkY5sXUG3DLTiQ/oRDm4GUDRexBqymyJ9V81AzI2ItSI4zI03u/8Hy2+2DubdIQ2fc&#10;3KEYquilbcMf8yN9JGs3kiV6TzgqZ8VsMjs7pYTj2eQMv3wW6MwO7sY6/1lAS4JQUou3EUli2xvn&#10;k+neJERzoJrqulEqbsILEJfKki3Du2OcC+2L6K427Veokn6W45duEdV410k93asxm/iWAlLM7bcg&#10;Sv8t7mpdDEUdOSJo8MwOlEXJ75QIeEp/E5I0FZI0iQmPGbysxdWsEkl9+mbOETAgSyRnxE5kvIGd&#10;2B3sg6uIzTA6539KLDmPHjEyaD86t40G+xqAwhsaIif7PUmJmsCS71c9chOoQcugWUG1u7fEQmpO&#10;Z/h1g+/lhjl/zyx2I/YtThh/h4tU0JUUBomSGuzP1/TBHpsETynpsLtL6n5smBWUqC8a2+dTMZ2G&#10;cRA309OzCW7s8cnq+ERv2kvAR1jgLDM8isHeq70oLbRPOIiWISoeMc0xdkn9Xrz0aebgIONiuYxG&#10;OAAM8zf6wfAAHVgO3fDYPzFrhpbx2G23sJ8DbP6sc5Jt8NSw3HiQTWyrA6sD/zg84uMfBl2YTsf7&#10;aHUYx4tfAAAA//8DAFBLAwQUAAYACAAAACEANoojB98AAAAFAQAADwAAAGRycy9kb3ducmV2Lnht&#10;bEyPUUvDMBSF34X9h3AHvrl0c9qtNh06kIH6sk4Q39LmrilrbkqSbdVfb/TFvVw4nMM5381Xg+nY&#10;CZ1vLQmYThJgSLVVLTUC3nfPNwtgPkhSsrOEAr7Qw6oYXeUyU/ZMWzyVoWGxhHwmBegQ+oxzX2s0&#10;0k9sjxS9vXVGhihdw5WT51huOj5LkntuZEtxQcse1xrrQ3k0Al5fNgv3/cnLpyrVy93bR3mYbdZC&#10;XI+HxwdgAYfwH4Zf/IgORWSq7JGUZ52A+Ej4u9FbpskdsErA/DadAy9yfklf/AAAAP//AwBQSwEC&#10;LQAUAAYACAAAACEAtoM4kv4AAADhAQAAEwAAAAAAAAAAAAAAAAAAAAAAW0NvbnRlbnRfVHlwZXNd&#10;LnhtbFBLAQItABQABgAIAAAAIQA4/SH/1gAAAJQBAAALAAAAAAAAAAAAAAAAAC8BAABfcmVscy8u&#10;cmVsc1BLAQItABQABgAIAAAAIQAywALAmQIAANYFAAAOAAAAAAAAAAAAAAAAAC4CAABkcnMvZTJv&#10;RG9jLnhtbFBLAQItABQABgAIAAAAIQA2iiMH3wAAAAUBAAAPAAAAAAAAAAAAAAAAAPMEAABkcnMv&#10;ZG93bnJldi54bWxQSwUGAAAAAAQABADzAAAA/wUAAAAA&#10;" fillcolor="#9cc2e5 [1940]" strokecolor="white [3212]" strokeweight="1pt">
                <v:textbox>
                  <w:txbxContent>
                    <w:p w14:paraId="29C31308" w14:textId="117736DB" w:rsidR="00866269" w:rsidRPr="00A82754" w:rsidRDefault="00652FC4" w:rsidP="00866269">
                      <w:pPr>
                        <w:rPr>
                          <w:i/>
                          <w:color w:val="000000" w:themeColor="text1"/>
                        </w:rPr>
                      </w:pPr>
                      <w:r>
                        <w:rPr>
                          <w:i/>
                          <w:color w:val="000000" w:themeColor="text1"/>
                        </w:rPr>
                        <w:t>Summary of w</w:t>
                      </w:r>
                      <w:r w:rsidR="00866269" w:rsidRPr="00A82754">
                        <w:rPr>
                          <w:i/>
                          <w:color w:val="000000" w:themeColor="text1"/>
                        </w:rPr>
                        <w:t>orkshop discussion</w:t>
                      </w:r>
                    </w:p>
                    <w:p w14:paraId="3BBDD16E" w14:textId="7CD26113" w:rsidR="00866269" w:rsidRPr="00A82754" w:rsidRDefault="00866269" w:rsidP="00866269">
                      <w:pPr>
                        <w:rPr>
                          <w:color w:val="000000" w:themeColor="text1"/>
                        </w:rPr>
                      </w:pPr>
                      <w:r w:rsidRPr="00A82754">
                        <w:rPr>
                          <w:color w:val="000000" w:themeColor="text1"/>
                        </w:rPr>
                        <w:t>It was agreed that the stability of data quality is perhaps more important than it being better than it was in the past</w:t>
                      </w:r>
                      <w:r w:rsidR="00652FC4">
                        <w:rPr>
                          <w:color w:val="000000" w:themeColor="text1"/>
                        </w:rPr>
                        <w:t>. A</w:t>
                      </w:r>
                      <w:r w:rsidRPr="00A82754">
                        <w:rPr>
                          <w:color w:val="000000" w:themeColor="text1"/>
                        </w:rPr>
                        <w:t xml:space="preserve"> way of tracking this could be metadata and quality flags.</w:t>
                      </w:r>
                      <w:r>
                        <w:rPr>
                          <w:color w:val="000000" w:themeColor="text1"/>
                        </w:rPr>
                        <w:t xml:space="preserve"> </w:t>
                      </w:r>
                      <w:r w:rsidR="00216E68">
                        <w:rPr>
                          <w:color w:val="000000" w:themeColor="text1"/>
                        </w:rPr>
                        <w:t xml:space="preserve"> </w:t>
                      </w:r>
                      <w:r>
                        <w:rPr>
                          <w:color w:val="000000" w:themeColor="text1"/>
                        </w:rPr>
                        <w:t>Where there is a modest net disturbance it would be good to document this in the metadata.</w:t>
                      </w:r>
                      <w:r w:rsidR="00652FC4">
                        <w:rPr>
                          <w:color w:val="000000" w:themeColor="text1"/>
                        </w:rPr>
                        <w:t xml:space="preserve"> </w:t>
                      </w:r>
                    </w:p>
                    <w:p w14:paraId="7C183349" w14:textId="794F38C9" w:rsidR="00866269" w:rsidRDefault="00866269" w:rsidP="00866269">
                      <w:pPr>
                        <w:rPr>
                          <w:color w:val="000000" w:themeColor="text1"/>
                        </w:rPr>
                      </w:pPr>
                      <w:r w:rsidRPr="00A82754">
                        <w:rPr>
                          <w:color w:val="000000" w:themeColor="text1"/>
                        </w:rPr>
                        <w:t>The general approach to data quality will be for the criteria to be inclusi</w:t>
                      </w:r>
                      <w:r w:rsidR="00216E68">
                        <w:rPr>
                          <w:color w:val="000000" w:themeColor="text1"/>
                        </w:rPr>
                        <w:t xml:space="preserve">ve and a secondary level screening </w:t>
                      </w:r>
                      <w:r w:rsidRPr="00A82754">
                        <w:rPr>
                          <w:color w:val="000000" w:themeColor="text1"/>
                        </w:rPr>
                        <w:t xml:space="preserve">applied by the core analysis team can determine whether the stations are suitable for </w:t>
                      </w:r>
                      <w:r w:rsidR="00216E68">
                        <w:rPr>
                          <w:color w:val="000000" w:themeColor="text1"/>
                        </w:rPr>
                        <w:t>inclusion</w:t>
                      </w:r>
                      <w:r w:rsidRPr="00A82754">
                        <w:rPr>
                          <w:color w:val="000000" w:themeColor="text1"/>
                        </w:rPr>
                        <w:t xml:space="preserve"> for ROBIN analysis. </w:t>
                      </w:r>
                      <w:r w:rsidR="00216E68">
                        <w:rPr>
                          <w:color w:val="000000" w:themeColor="text1"/>
                        </w:rPr>
                        <w:t xml:space="preserve"> </w:t>
                      </w:r>
                      <w:r w:rsidRPr="00A82754">
                        <w:rPr>
                          <w:color w:val="000000" w:themeColor="text1"/>
                        </w:rPr>
                        <w:t xml:space="preserve">This will make the ROBIN Network </w:t>
                      </w:r>
                      <w:r>
                        <w:rPr>
                          <w:color w:val="000000" w:themeColor="text1"/>
                        </w:rPr>
                        <w:t>legacy</w:t>
                      </w:r>
                      <w:r w:rsidRPr="00A82754">
                        <w:rPr>
                          <w:color w:val="000000" w:themeColor="text1"/>
                        </w:rPr>
                        <w:t xml:space="preserve">, in general, more inclusive for future analyses (after all we don't know </w:t>
                      </w:r>
                      <w:r>
                        <w:rPr>
                          <w:color w:val="000000" w:themeColor="text1"/>
                        </w:rPr>
                        <w:t>researchers might want when they analyse the data in 10 years’ time!)</w:t>
                      </w:r>
                      <w:r w:rsidR="00652FC4">
                        <w:rPr>
                          <w:color w:val="000000" w:themeColor="text1"/>
                        </w:rPr>
                        <w:t xml:space="preserve">, </w:t>
                      </w:r>
                      <w:r w:rsidR="00216E68">
                        <w:rPr>
                          <w:color w:val="000000" w:themeColor="text1"/>
                        </w:rPr>
                        <w:t xml:space="preserve">we don’t want to </w:t>
                      </w:r>
                      <w:r w:rsidR="00652FC4">
                        <w:rPr>
                          <w:color w:val="000000" w:themeColor="text1"/>
                        </w:rPr>
                        <w:t xml:space="preserve">exclude </w:t>
                      </w:r>
                      <w:r w:rsidR="00216E68">
                        <w:rPr>
                          <w:color w:val="000000" w:themeColor="text1"/>
                        </w:rPr>
                        <w:t>data that may be useful</w:t>
                      </w:r>
                      <w:r w:rsidRPr="00A82754">
                        <w:rPr>
                          <w:color w:val="000000" w:themeColor="text1"/>
                        </w:rPr>
                        <w:t>.</w:t>
                      </w:r>
                    </w:p>
                    <w:p w14:paraId="19D07741" w14:textId="5473236E" w:rsidR="00216E68" w:rsidRPr="00A82754" w:rsidRDefault="00D664B2" w:rsidP="00866269">
                      <w:pPr>
                        <w:rPr>
                          <w:color w:val="000000" w:themeColor="text1"/>
                        </w:rPr>
                      </w:pPr>
                      <w:r>
                        <w:rPr>
                          <w:color w:val="000000" w:themeColor="text1"/>
                        </w:rPr>
                        <w:t>We discussed sharing knowledge and experiences within the ROBIN Network, including the production of guidance to help future countries identify suitable near-natural catchments. It was agree</w:t>
                      </w:r>
                      <w:r w:rsidR="00775493">
                        <w:rPr>
                          <w:color w:val="000000" w:themeColor="text1"/>
                        </w:rPr>
                        <w:t>d</w:t>
                      </w:r>
                      <w:r>
                        <w:rPr>
                          <w:color w:val="000000" w:themeColor="text1"/>
                        </w:rPr>
                        <w:t xml:space="preserve"> that i</w:t>
                      </w:r>
                      <w:r w:rsidR="00216E68">
                        <w:rPr>
                          <w:color w:val="000000" w:themeColor="text1"/>
                        </w:rPr>
                        <w:t xml:space="preserve">f there are certain sites that </w:t>
                      </w:r>
                      <w:r>
                        <w:rPr>
                          <w:color w:val="000000" w:themeColor="text1"/>
                        </w:rPr>
                        <w:t>are identified in</w:t>
                      </w:r>
                      <w:r w:rsidR="00216E68">
                        <w:rPr>
                          <w:color w:val="000000" w:themeColor="text1"/>
                        </w:rPr>
                        <w:t xml:space="preserve"> the station selection process that would be good to turn into a case study</w:t>
                      </w:r>
                      <w:r>
                        <w:rPr>
                          <w:color w:val="000000" w:themeColor="text1"/>
                        </w:rPr>
                        <w:t xml:space="preserve"> for a guidance document, the details can be passed to the UKCEH ROBIN team to include. </w:t>
                      </w:r>
                    </w:p>
                  </w:txbxContent>
                </v:textbox>
                <w10:anchorlock/>
              </v:rect>
            </w:pict>
          </mc:Fallback>
        </mc:AlternateContent>
      </w:r>
    </w:p>
    <w:tbl>
      <w:tblPr>
        <w:tblStyle w:val="TableGrid"/>
        <w:tblW w:w="9941" w:type="dxa"/>
        <w:tblLook w:val="04A0" w:firstRow="1" w:lastRow="0" w:firstColumn="1" w:lastColumn="0" w:noHBand="0" w:noVBand="1"/>
      </w:tblPr>
      <w:tblGrid>
        <w:gridCol w:w="4673"/>
        <w:gridCol w:w="5268"/>
      </w:tblGrid>
      <w:tr w:rsidR="00D664B2" w:rsidRPr="00D567C6" w14:paraId="6027C6DA" w14:textId="77777777" w:rsidTr="00004ECE">
        <w:tc>
          <w:tcPr>
            <w:tcW w:w="9941" w:type="dxa"/>
            <w:gridSpan w:val="2"/>
          </w:tcPr>
          <w:p w14:paraId="34DB67BE" w14:textId="7B218435" w:rsidR="00D664B2" w:rsidRPr="00D567C6" w:rsidRDefault="00D664B2" w:rsidP="00AA2E8D">
            <w:pPr>
              <w:jc w:val="both"/>
              <w:rPr>
                <w:b/>
              </w:rPr>
            </w:pPr>
            <w:r>
              <w:rPr>
                <w:b/>
              </w:rPr>
              <w:t>Data Quality Criteria</w:t>
            </w:r>
          </w:p>
        </w:tc>
      </w:tr>
      <w:tr w:rsidR="00D567C6" w:rsidRPr="00D567C6" w14:paraId="564E4260" w14:textId="77777777" w:rsidTr="00AA2E8D">
        <w:tc>
          <w:tcPr>
            <w:tcW w:w="4673" w:type="dxa"/>
          </w:tcPr>
          <w:p w14:paraId="23E85ECC" w14:textId="4B47B1C8" w:rsidR="00D567C6" w:rsidRPr="00D567C6" w:rsidRDefault="00D567C6" w:rsidP="00AA2E8D">
            <w:pPr>
              <w:jc w:val="both"/>
              <w:rPr>
                <w:b/>
              </w:rPr>
            </w:pPr>
            <w:r w:rsidRPr="00D567C6">
              <w:rPr>
                <w:b/>
              </w:rPr>
              <w:t>Level 1 Network</w:t>
            </w:r>
          </w:p>
        </w:tc>
        <w:tc>
          <w:tcPr>
            <w:tcW w:w="5268" w:type="dxa"/>
          </w:tcPr>
          <w:p w14:paraId="3128ED60" w14:textId="77777777" w:rsidR="00D567C6" w:rsidRPr="00D567C6" w:rsidRDefault="00D567C6" w:rsidP="00AA2E8D">
            <w:pPr>
              <w:jc w:val="both"/>
              <w:rPr>
                <w:b/>
              </w:rPr>
            </w:pPr>
            <w:r w:rsidRPr="00D567C6">
              <w:rPr>
                <w:b/>
              </w:rPr>
              <w:t>Level 2 Network</w:t>
            </w:r>
          </w:p>
        </w:tc>
      </w:tr>
      <w:tr w:rsidR="00D567C6" w:rsidRPr="00D567C6" w14:paraId="2EB0D03E" w14:textId="77777777" w:rsidTr="00AA2E8D">
        <w:tc>
          <w:tcPr>
            <w:tcW w:w="4673" w:type="dxa"/>
          </w:tcPr>
          <w:p w14:paraId="2227384B" w14:textId="227551BC" w:rsidR="00D567C6" w:rsidRPr="00D567C6" w:rsidRDefault="00857111" w:rsidP="00AA2E8D">
            <w:r>
              <w:t xml:space="preserve">Very </w:t>
            </w:r>
            <w:proofErr w:type="gramStart"/>
            <w:r>
              <w:t xml:space="preserve">high </w:t>
            </w:r>
            <w:r w:rsidR="00D567C6">
              <w:t>quality</w:t>
            </w:r>
            <w:proofErr w:type="gramEnd"/>
            <w:r w:rsidR="00D567C6">
              <w:t xml:space="preserve"> daily mean river flow data</w:t>
            </w:r>
            <w:r>
              <w:t xml:space="preserve"> capable of reliably </w:t>
            </w:r>
            <w:r w:rsidR="00EA026A">
              <w:t xml:space="preserve">representing high and low flows and appropriate </w:t>
            </w:r>
            <w:r w:rsidR="00D567C6">
              <w:t>metadata.</w:t>
            </w:r>
          </w:p>
        </w:tc>
        <w:tc>
          <w:tcPr>
            <w:tcW w:w="5268" w:type="dxa"/>
          </w:tcPr>
          <w:p w14:paraId="061BFB29" w14:textId="3FE8C64F" w:rsidR="00D567C6" w:rsidRPr="00D567C6" w:rsidRDefault="00D567C6" w:rsidP="00AA2E8D">
            <w:r>
              <w:t>High to f</w:t>
            </w:r>
            <w:r w:rsidRPr="00D567C6">
              <w:t xml:space="preserve">air quality </w:t>
            </w:r>
            <w:r>
              <w:t>daily mean river flow</w:t>
            </w:r>
            <w:r w:rsidRPr="00D567C6">
              <w:t xml:space="preserve"> data</w:t>
            </w:r>
            <w:r w:rsidR="00857111">
              <w:t xml:space="preserve"> capable of reliably representing monthly average flow conditions</w:t>
            </w:r>
            <w:r w:rsidRPr="00D567C6">
              <w:t xml:space="preserve"> with </w:t>
            </w:r>
            <w:r w:rsidR="00EA026A">
              <w:t xml:space="preserve">appropriate </w:t>
            </w:r>
            <w:proofErr w:type="gramStart"/>
            <w:r w:rsidRPr="00D567C6">
              <w:t>metadata</w:t>
            </w:r>
            <w:proofErr w:type="gramEnd"/>
            <w:r w:rsidRPr="00D567C6">
              <w:cr/>
            </w:r>
            <w:r>
              <w:t>.</w:t>
            </w:r>
          </w:p>
        </w:tc>
      </w:tr>
    </w:tbl>
    <w:p w14:paraId="45E7759D" w14:textId="305FAB5E" w:rsidR="00D567C6" w:rsidRDefault="00D567C6" w:rsidP="00AA2E8D">
      <w:pPr>
        <w:pStyle w:val="Heading1"/>
        <w:jc w:val="both"/>
      </w:pPr>
      <w:bookmarkStart w:id="2" w:name="_Record_Length"/>
      <w:bookmarkEnd w:id="2"/>
      <w:r>
        <w:t>Record Length</w:t>
      </w:r>
    </w:p>
    <w:p w14:paraId="2045022F" w14:textId="5E677285" w:rsidR="00D567C6" w:rsidRDefault="00D664B2" w:rsidP="00AA2E8D">
      <w:pPr>
        <w:jc w:val="both"/>
      </w:pPr>
      <w:r>
        <w:t>Flow r</w:t>
      </w:r>
      <w:r w:rsidR="00D567C6">
        <w:t>ecord lengths should be as long as possible so that decadal variability can be distinguished from longer term trends</w:t>
      </w:r>
      <w:r w:rsidR="00866269">
        <w:t xml:space="preserve">.  </w:t>
      </w:r>
      <w:r w:rsidR="00D567C6">
        <w:t xml:space="preserve">Record length is critical in the detection of trends in hydrological variables, and it has been shown in many studies that the results of trend analysis are dependent on the chosen period, which </w:t>
      </w:r>
      <w:r w:rsidR="009B4073">
        <w:t>can have</w:t>
      </w:r>
      <w:r w:rsidR="00D567C6">
        <w:t xml:space="preserve"> a significant impact on trend magnitude and direction (Dixon et al., 2006; Hannaford et al., 2013).</w:t>
      </w:r>
    </w:p>
    <w:p w14:paraId="46F5B398" w14:textId="69E23691" w:rsidR="00D567C6" w:rsidRDefault="00D567C6" w:rsidP="00AA2E8D">
      <w:pPr>
        <w:jc w:val="both"/>
      </w:pPr>
      <w:r>
        <w:t>In trend analyses, study periods are usually selected to represent a trade-off between record length and network density</w:t>
      </w:r>
      <w:r w:rsidR="00866269">
        <w:t xml:space="preserve">.  </w:t>
      </w:r>
      <w:r>
        <w:t xml:space="preserve">Within ROBIN we support the use of the longest river flow datasets that are available but recognise the need for </w:t>
      </w:r>
      <w:proofErr w:type="gramStart"/>
      <w:r>
        <w:t xml:space="preserve">a </w:t>
      </w:r>
      <w:r w:rsidR="00D664B2">
        <w:t xml:space="preserve">sufficient </w:t>
      </w:r>
      <w:r>
        <w:t>number of</w:t>
      </w:r>
      <w:proofErr w:type="gramEnd"/>
      <w:r>
        <w:t xml:space="preserve"> stations to be included in the network.</w:t>
      </w:r>
    </w:p>
    <w:p w14:paraId="461D9714" w14:textId="6FC36EDC" w:rsidR="00D567C6" w:rsidRDefault="00D567C6" w:rsidP="00AA2E8D">
      <w:pPr>
        <w:jc w:val="both"/>
      </w:pPr>
      <w:r>
        <w:t xml:space="preserve">We propose any ROBIN station </w:t>
      </w:r>
      <w:r w:rsidR="00D664B2">
        <w:t xml:space="preserve">should </w:t>
      </w:r>
      <w:r>
        <w:t>have a minimum record length of 20 years</w:t>
      </w:r>
      <w:r w:rsidR="00D664B2">
        <w:t xml:space="preserve"> (Level 2 Network)</w:t>
      </w:r>
      <w:r>
        <w:t xml:space="preserve">, however for use in the Level 1 </w:t>
      </w:r>
      <w:r w:rsidR="00D664B2">
        <w:t xml:space="preserve">Network </w:t>
      </w:r>
      <w:r>
        <w:t xml:space="preserve">the record length must be of more than 40 years. </w:t>
      </w:r>
    </w:p>
    <w:p w14:paraId="0E52127A" w14:textId="461D7EE2" w:rsidR="00AA2E8D" w:rsidRDefault="00AA2E8D" w:rsidP="00AA2E8D">
      <w:pPr>
        <w:jc w:val="both"/>
      </w:pPr>
      <w:r>
        <w:rPr>
          <w:noProof/>
          <w:lang w:eastAsia="en-GB"/>
        </w:rPr>
        <mc:AlternateContent>
          <mc:Choice Requires="wps">
            <w:drawing>
              <wp:inline distT="0" distB="0" distL="0" distR="0" wp14:anchorId="749982A8" wp14:editId="2AD8FC77">
                <wp:extent cx="6162675" cy="1406106"/>
                <wp:effectExtent l="0" t="0" r="28575" b="22860"/>
                <wp:docPr id="5" name="Rectangle 5"/>
                <wp:cNvGraphicFramePr/>
                <a:graphic xmlns:a="http://schemas.openxmlformats.org/drawingml/2006/main">
                  <a:graphicData uri="http://schemas.microsoft.com/office/word/2010/wordprocessingShape">
                    <wps:wsp>
                      <wps:cNvSpPr/>
                      <wps:spPr>
                        <a:xfrm>
                          <a:off x="0" y="0"/>
                          <a:ext cx="6162675" cy="1406106"/>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B8FAF" w14:textId="24FB9EAD" w:rsidR="00AA2E8D" w:rsidRPr="00A82754" w:rsidRDefault="00D664B2" w:rsidP="00AA2E8D">
                            <w:pPr>
                              <w:rPr>
                                <w:i/>
                                <w:color w:val="000000" w:themeColor="text1"/>
                              </w:rPr>
                            </w:pPr>
                            <w:r>
                              <w:rPr>
                                <w:i/>
                                <w:color w:val="000000" w:themeColor="text1"/>
                              </w:rPr>
                              <w:t>Summary of w</w:t>
                            </w:r>
                            <w:r w:rsidR="00AA2E8D" w:rsidRPr="00A82754">
                              <w:rPr>
                                <w:i/>
                                <w:color w:val="000000" w:themeColor="text1"/>
                              </w:rPr>
                              <w:t>orkshop discussion</w:t>
                            </w:r>
                          </w:p>
                          <w:p w14:paraId="12C25080" w14:textId="77777777" w:rsidR="00AA2E8D" w:rsidRDefault="00AA2E8D" w:rsidP="00AA2E8D">
                            <w:pPr>
                              <w:rPr>
                                <w:color w:val="000000" w:themeColor="text1"/>
                              </w:rPr>
                            </w:pPr>
                            <w:r>
                              <w:rPr>
                                <w:color w:val="000000" w:themeColor="text1"/>
                              </w:rPr>
                              <w:t xml:space="preserve">The workshop participants were generally happy with the proposed record lengths and no suggestions were made to change this. </w:t>
                            </w:r>
                          </w:p>
                          <w:p w14:paraId="723ACFC3" w14:textId="426A13EF" w:rsidR="00AA2E8D" w:rsidRDefault="00AA2E8D" w:rsidP="00AA2E8D">
                            <w:pPr>
                              <w:rPr>
                                <w:color w:val="000000" w:themeColor="text1"/>
                              </w:rPr>
                            </w:pPr>
                            <w:r>
                              <w:rPr>
                                <w:color w:val="000000" w:themeColor="text1"/>
                              </w:rPr>
                              <w:t xml:space="preserve">It was noted that even though some stations may not be up to 20/40 years of data, it won’t take very long to get there, and if the station is </w:t>
                            </w:r>
                            <w:proofErr w:type="gramStart"/>
                            <w:r>
                              <w:rPr>
                                <w:color w:val="000000" w:themeColor="text1"/>
                              </w:rPr>
                              <w:t>good</w:t>
                            </w:r>
                            <w:proofErr w:type="gramEnd"/>
                            <w:r>
                              <w:rPr>
                                <w:color w:val="000000" w:themeColor="text1"/>
                              </w:rPr>
                              <w:t xml:space="preserve"> it should be included in ROBIN so that for the legacy of the ROBIN Network it will have a good enough record length.</w:t>
                            </w:r>
                            <w:r w:rsidR="00D664B2">
                              <w:rPr>
                                <w:color w:val="000000" w:themeColor="text1"/>
                              </w:rPr>
                              <w:t xml:space="preserve"> </w:t>
                            </w:r>
                          </w:p>
                          <w:p w14:paraId="7A8B890B" w14:textId="19EC8E22" w:rsidR="00EB0F1D" w:rsidRPr="00A82754" w:rsidRDefault="00EB0F1D" w:rsidP="00AA2E8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49982A8" id="Rectangle 5" o:spid="_x0000_s1029" style="width:485.25pt;height:1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nTmgIAANYFAAAOAAAAZHJzL2Uyb0RvYy54bWysVG1v0zAQ/o7Ef7D8nSUpXQfV0qnaNIQ0&#10;2MSG9tl17CaS4zO226T8es52mpa9gIToh/R8L8/dPfbd+UXfKrIV1jWgS1qc5JQIzaFq9Lqk3x+u&#10;332gxHmmK6ZAi5LuhKMXi7dvzjszFxOoQVXCEgTRbt6Zktbem3mWOV6LlrkTMEKjUYJtmcejXWeV&#10;ZR2ityqb5Pks68BWxgIXzqH2KhnpIuJLKbi/ldIJT1RJsTYfvzZ+V+GbLc7ZfG2ZqRs+lMH+oYqW&#10;NRqTjlBXzDOysc0zqLbhFhxIf8KhzUDKhovYA3ZT5E+6ua+ZEbEXJMeZkSb3/2D51+29ubNIQ2fc&#10;3KEYuuilbcM/1kf6SNZuJEv0nnBUzorZZHZ2SglHWzHNZ0U+C3Rmh3Bjnf8koCVBKKnF24gkse2N&#10;88l17xKyOVBNdd0oFQ/hBYhLZcmW4d0xzoX2RQxXm/YLVEk/y/GXbhHVeNdJPd2rsZr4lgJSrO23&#10;JEr/Le9qXQxNHQUiaIjMDpRFye+UCHhKfxOSNBWSNIkFjxU878XVrBJJffpqzREwIEskZ8ROZLyC&#10;ndgd/EOoiMMwBud/KiwFjxExM2g/BreNBvsSgMIbGjIn/z1JiZrAku9XPXJT0vfBM2hWUO3uLLGQ&#10;htMZft3ge7lhzt8xi9OIc4sbxt/iRyroSgqDREkN9udL+uCPQ4JWSjqc7pK6HxtmBSXqs8bx+VhM&#10;p2EdxMP09GyCB3tsWR1b9Ka9BHyEBe4yw6MY/L3ai9JC+4iLaBmyoolpjrlL6vfipU87BxcZF8tl&#10;dMIFYJi/0feGB+jAcpiGh/6RWTOMjMdp+wr7PcDmTyYn+YZIDcuNB9nEsTqwOvCPyyM+/mHRhe10&#10;fI5eh3W8+AUAAP//AwBQSwMEFAAGAAgAAAAhAP3OK27fAAAABQEAAA8AAABkcnMvZG93bnJldi54&#10;bWxMj1FLwzAUhd+F/YdwB765dEXdVpuObSAD3YudMPaWNtemrLkpSbZVf73RF325cDiHc76bLwfT&#10;sQs631oSMJ0kwJBqq1pqBLzvn+/mwHyQpGRnCQV8oodlMbrJZabsld7wUoaGxRLymRSgQ+gzzn2t&#10;0Ug/sT1S9D6sMzJE6RqunLzGctPxNEkeuZEtxQUte9xorE/l2Qh4fdnO3deRl+tqphf73aE8pduN&#10;ELfjYfUELOAQ/sLwgx/RoYhMlT2T8qwTEB8Jvzd6i1nyAKwSkKbTe+BFzv/TF98AAAD//wMAUEsB&#10;Ai0AFAAGAAgAAAAhALaDOJL+AAAA4QEAABMAAAAAAAAAAAAAAAAAAAAAAFtDb250ZW50X1R5cGVz&#10;XS54bWxQSwECLQAUAAYACAAAACEAOP0h/9YAAACUAQAACwAAAAAAAAAAAAAAAAAvAQAAX3JlbHMv&#10;LnJlbHNQSwECLQAUAAYACAAAACEAsTw505oCAADWBQAADgAAAAAAAAAAAAAAAAAuAgAAZHJzL2Uy&#10;b0RvYy54bWxQSwECLQAUAAYACAAAACEA/c4rbt8AAAAFAQAADwAAAAAAAAAAAAAAAAD0BAAAZHJz&#10;L2Rvd25yZXYueG1sUEsFBgAAAAAEAAQA8wAAAAAGAAAAAA==&#10;" fillcolor="#9cc2e5 [1940]" strokecolor="white [3212]" strokeweight="1pt">
                <v:textbox>
                  <w:txbxContent>
                    <w:p w14:paraId="7D9B8FAF" w14:textId="24FB9EAD" w:rsidR="00AA2E8D" w:rsidRPr="00A82754" w:rsidRDefault="00D664B2" w:rsidP="00AA2E8D">
                      <w:pPr>
                        <w:rPr>
                          <w:i/>
                          <w:color w:val="000000" w:themeColor="text1"/>
                        </w:rPr>
                      </w:pPr>
                      <w:r>
                        <w:rPr>
                          <w:i/>
                          <w:color w:val="000000" w:themeColor="text1"/>
                        </w:rPr>
                        <w:t>Summary of w</w:t>
                      </w:r>
                      <w:r w:rsidR="00AA2E8D" w:rsidRPr="00A82754">
                        <w:rPr>
                          <w:i/>
                          <w:color w:val="000000" w:themeColor="text1"/>
                        </w:rPr>
                        <w:t>orkshop discussion</w:t>
                      </w:r>
                    </w:p>
                    <w:p w14:paraId="12C25080" w14:textId="77777777" w:rsidR="00AA2E8D" w:rsidRDefault="00AA2E8D" w:rsidP="00AA2E8D">
                      <w:pPr>
                        <w:rPr>
                          <w:color w:val="000000" w:themeColor="text1"/>
                        </w:rPr>
                      </w:pPr>
                      <w:r>
                        <w:rPr>
                          <w:color w:val="000000" w:themeColor="text1"/>
                        </w:rPr>
                        <w:t xml:space="preserve">The workshop participants were generally happy with the proposed record lengths and no suggestions were made to change this. </w:t>
                      </w:r>
                    </w:p>
                    <w:p w14:paraId="723ACFC3" w14:textId="426A13EF" w:rsidR="00AA2E8D" w:rsidRDefault="00AA2E8D" w:rsidP="00AA2E8D">
                      <w:pPr>
                        <w:rPr>
                          <w:color w:val="000000" w:themeColor="text1"/>
                        </w:rPr>
                      </w:pPr>
                      <w:r>
                        <w:rPr>
                          <w:color w:val="000000" w:themeColor="text1"/>
                        </w:rPr>
                        <w:t xml:space="preserve">It was noted that even though some stations may not be up to 20/40 years of data, it won’t take very long to get there, and if the station is </w:t>
                      </w:r>
                      <w:proofErr w:type="gramStart"/>
                      <w:r>
                        <w:rPr>
                          <w:color w:val="000000" w:themeColor="text1"/>
                        </w:rPr>
                        <w:t>good</w:t>
                      </w:r>
                      <w:proofErr w:type="gramEnd"/>
                      <w:r>
                        <w:rPr>
                          <w:color w:val="000000" w:themeColor="text1"/>
                        </w:rPr>
                        <w:t xml:space="preserve"> it should be included in ROBIN so that for the legacy of the ROBIN Network it will have a good enough record length.</w:t>
                      </w:r>
                      <w:r w:rsidR="00D664B2">
                        <w:rPr>
                          <w:color w:val="000000" w:themeColor="text1"/>
                        </w:rPr>
                        <w:t xml:space="preserve"> </w:t>
                      </w:r>
                    </w:p>
                    <w:p w14:paraId="7A8B890B" w14:textId="19EC8E22" w:rsidR="00EB0F1D" w:rsidRPr="00A82754" w:rsidRDefault="00EB0F1D" w:rsidP="00AA2E8D">
                      <w:pPr>
                        <w:rPr>
                          <w:color w:val="000000" w:themeColor="text1"/>
                        </w:rPr>
                      </w:pPr>
                    </w:p>
                  </w:txbxContent>
                </v:textbox>
                <w10:anchorlock/>
              </v:rect>
            </w:pict>
          </mc:Fallback>
        </mc:AlternateContent>
      </w:r>
    </w:p>
    <w:tbl>
      <w:tblPr>
        <w:tblStyle w:val="TableGrid"/>
        <w:tblW w:w="9776" w:type="dxa"/>
        <w:tblLook w:val="04A0" w:firstRow="1" w:lastRow="0" w:firstColumn="1" w:lastColumn="0" w:noHBand="0" w:noVBand="1"/>
      </w:tblPr>
      <w:tblGrid>
        <w:gridCol w:w="4815"/>
        <w:gridCol w:w="4961"/>
      </w:tblGrid>
      <w:tr w:rsidR="00D664B2" w:rsidRPr="00D567C6" w14:paraId="56EB1124" w14:textId="77777777" w:rsidTr="00CB1822">
        <w:tc>
          <w:tcPr>
            <w:tcW w:w="9776" w:type="dxa"/>
            <w:gridSpan w:val="2"/>
          </w:tcPr>
          <w:p w14:paraId="4C1EDC02" w14:textId="409E7755" w:rsidR="00D664B2" w:rsidRPr="00D567C6" w:rsidRDefault="00D664B2" w:rsidP="00AA2E8D">
            <w:pPr>
              <w:jc w:val="both"/>
              <w:rPr>
                <w:b/>
              </w:rPr>
            </w:pPr>
            <w:r>
              <w:rPr>
                <w:b/>
              </w:rPr>
              <w:t>Record Length Criteria</w:t>
            </w:r>
          </w:p>
        </w:tc>
      </w:tr>
      <w:tr w:rsidR="00D567C6" w:rsidRPr="00D567C6" w14:paraId="6BE3C528" w14:textId="77777777" w:rsidTr="00AA2E8D">
        <w:tc>
          <w:tcPr>
            <w:tcW w:w="4815" w:type="dxa"/>
          </w:tcPr>
          <w:p w14:paraId="72294533" w14:textId="77777777" w:rsidR="00D567C6" w:rsidRPr="00D567C6" w:rsidRDefault="00D567C6" w:rsidP="00AA2E8D">
            <w:pPr>
              <w:jc w:val="both"/>
              <w:rPr>
                <w:b/>
              </w:rPr>
            </w:pPr>
            <w:r w:rsidRPr="00D567C6">
              <w:rPr>
                <w:b/>
              </w:rPr>
              <w:t>Level 1 Network</w:t>
            </w:r>
          </w:p>
        </w:tc>
        <w:tc>
          <w:tcPr>
            <w:tcW w:w="4961" w:type="dxa"/>
          </w:tcPr>
          <w:p w14:paraId="1567E81D" w14:textId="77777777" w:rsidR="00D567C6" w:rsidRPr="00D567C6" w:rsidRDefault="00D567C6" w:rsidP="00AA2E8D">
            <w:pPr>
              <w:jc w:val="both"/>
              <w:rPr>
                <w:b/>
              </w:rPr>
            </w:pPr>
            <w:r w:rsidRPr="00D567C6">
              <w:rPr>
                <w:b/>
              </w:rPr>
              <w:t>Level 2 Network</w:t>
            </w:r>
          </w:p>
        </w:tc>
      </w:tr>
      <w:tr w:rsidR="00D567C6" w:rsidRPr="00D567C6" w14:paraId="391A5ED3" w14:textId="77777777" w:rsidTr="00AA2E8D">
        <w:tc>
          <w:tcPr>
            <w:tcW w:w="4815" w:type="dxa"/>
          </w:tcPr>
          <w:p w14:paraId="1A1EB2A7" w14:textId="77777777" w:rsidR="00D567C6" w:rsidRPr="00D567C6" w:rsidRDefault="00D567C6" w:rsidP="00AA2E8D">
            <w:pPr>
              <w:jc w:val="both"/>
            </w:pPr>
            <w:r w:rsidRPr="00D567C6">
              <w:t>Record length of at least 40 years</w:t>
            </w:r>
            <w:r>
              <w:t>.</w:t>
            </w:r>
          </w:p>
        </w:tc>
        <w:tc>
          <w:tcPr>
            <w:tcW w:w="4961" w:type="dxa"/>
          </w:tcPr>
          <w:p w14:paraId="1B4DBDD0" w14:textId="676E4934" w:rsidR="00D567C6" w:rsidRPr="00D567C6" w:rsidRDefault="00D567C6" w:rsidP="00AA2E8D">
            <w:pPr>
              <w:jc w:val="both"/>
            </w:pPr>
            <w:r w:rsidRPr="00D567C6">
              <w:t>Record length of at least 20 years</w:t>
            </w:r>
            <w:r w:rsidR="00EB0F1D">
              <w:t xml:space="preserve"> – countries are welcome to flag countries that are close to making the </w:t>
            </w:r>
            <w:proofErr w:type="gramStart"/>
            <w:r w:rsidR="00EB0F1D">
              <w:t>20 year</w:t>
            </w:r>
            <w:proofErr w:type="gramEnd"/>
            <w:r w:rsidR="00EB0F1D">
              <w:t xml:space="preserve"> record.</w:t>
            </w:r>
          </w:p>
        </w:tc>
      </w:tr>
    </w:tbl>
    <w:p w14:paraId="245E02F5" w14:textId="420AFDC3" w:rsidR="00D567C6" w:rsidRPr="00D567C6" w:rsidRDefault="00D567C6" w:rsidP="00AA2E8D">
      <w:pPr>
        <w:pStyle w:val="Heading1"/>
        <w:jc w:val="both"/>
        <w:rPr>
          <w:rStyle w:val="Heading1Char"/>
        </w:rPr>
      </w:pPr>
      <w:bookmarkStart w:id="3" w:name="_Missing_data"/>
      <w:bookmarkEnd w:id="3"/>
      <w:r>
        <w:lastRenderedPageBreak/>
        <w:t xml:space="preserve">Missing </w:t>
      </w:r>
      <w:r w:rsidR="0023373F">
        <w:t>D</w:t>
      </w:r>
      <w:r>
        <w:t>ata</w:t>
      </w:r>
    </w:p>
    <w:p w14:paraId="23391DD0" w14:textId="35F09114" w:rsidR="00D567C6" w:rsidRDefault="00D567C6" w:rsidP="00AA2E8D">
      <w:pPr>
        <w:jc w:val="both"/>
      </w:pPr>
      <w:r>
        <w:t>Missing values can lead to biased results in statistical and hydrological analyses and therefore within ROBIN, to conduct a robust analysis of river flow data, missing data should be kept to a minimum</w:t>
      </w:r>
      <w:r w:rsidR="00866269">
        <w:t xml:space="preserve">.  </w:t>
      </w:r>
      <w:r>
        <w:t>Therefore, we propose that a minimum of 10% missing data would be acceptable for the ROBIN network and this criterion is applicable to both levels</w:t>
      </w:r>
      <w:r w:rsidR="00866269">
        <w:t xml:space="preserve">.  </w:t>
      </w:r>
      <w:r>
        <w:t>A percentage is chosen to reflect a wide range of record lengths meaning a set number of years may not be appropriate.</w:t>
      </w:r>
    </w:p>
    <w:p w14:paraId="68FA6F8D" w14:textId="1263774B" w:rsidR="005441C8" w:rsidRDefault="005441C8" w:rsidP="00AA2E8D">
      <w:pPr>
        <w:jc w:val="both"/>
      </w:pPr>
      <w:r>
        <w:rPr>
          <w:noProof/>
          <w:lang w:eastAsia="en-GB"/>
        </w:rPr>
        <mc:AlternateContent>
          <mc:Choice Requires="wps">
            <w:drawing>
              <wp:inline distT="0" distB="0" distL="0" distR="0" wp14:anchorId="5A8AA951" wp14:editId="10D83094">
                <wp:extent cx="6162675" cy="3768919"/>
                <wp:effectExtent l="0" t="0" r="28575" b="22225"/>
                <wp:docPr id="6" name="Rectangle 6"/>
                <wp:cNvGraphicFramePr/>
                <a:graphic xmlns:a="http://schemas.openxmlformats.org/drawingml/2006/main">
                  <a:graphicData uri="http://schemas.microsoft.com/office/word/2010/wordprocessingShape">
                    <wps:wsp>
                      <wps:cNvSpPr/>
                      <wps:spPr>
                        <a:xfrm>
                          <a:off x="0" y="0"/>
                          <a:ext cx="6162675" cy="3768919"/>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1095756" w14:textId="7AC4626F" w:rsidR="00FD34E9" w:rsidRDefault="0023373F" w:rsidP="00DE3467">
                            <w:pPr>
                              <w:spacing w:line="254" w:lineRule="auto"/>
                              <w:rPr>
                                <w:rFonts w:eastAsia="Calibri" w:hAnsi="Calibri" w:cs="Calibri"/>
                                <w:i/>
                                <w:iCs/>
                                <w:color w:val="000000"/>
                                <w:lang w:val="en-US"/>
                              </w:rPr>
                            </w:pPr>
                            <w:r>
                              <w:rPr>
                                <w:rFonts w:eastAsia="Calibri" w:hAnsi="Calibri" w:cs="Calibri"/>
                                <w:i/>
                                <w:iCs/>
                                <w:color w:val="000000"/>
                              </w:rPr>
                              <w:t>Summary of w</w:t>
                            </w:r>
                            <w:r w:rsidR="00EA3512">
                              <w:rPr>
                                <w:rFonts w:eastAsia="Calibri" w:hAnsi="Calibri" w:cs="Calibri"/>
                                <w:i/>
                                <w:iCs/>
                                <w:color w:val="000000"/>
                              </w:rPr>
                              <w:t>orkshop discussion</w:t>
                            </w:r>
                          </w:p>
                          <w:p w14:paraId="1E684A39" w14:textId="77777777" w:rsidR="00FD34E9" w:rsidRDefault="00EA3512" w:rsidP="00DE3467">
                            <w:pPr>
                              <w:spacing w:line="254" w:lineRule="auto"/>
                              <w:rPr>
                                <w:rFonts w:eastAsia="Calibri" w:hAnsi="Calibri" w:cs="Calibri"/>
                                <w:color w:val="000000"/>
                              </w:rPr>
                            </w:pPr>
                            <w:r>
                              <w:rPr>
                                <w:rFonts w:eastAsia="Calibri" w:hAnsi="Calibri" w:cs="Calibri"/>
                                <w:color w:val="000000"/>
                              </w:rPr>
                              <w:t xml:space="preserve">It was felt that specifying a percentage of missing data might not be the most helpful way assessing station suitability and may end up throwing away a lot of data that might </w:t>
                            </w:r>
                            <w:proofErr w:type="gramStart"/>
                            <w:r>
                              <w:rPr>
                                <w:rFonts w:eastAsia="Calibri" w:hAnsi="Calibri" w:cs="Calibri"/>
                                <w:color w:val="000000"/>
                              </w:rPr>
                              <w:t>actually be</w:t>
                            </w:r>
                            <w:proofErr w:type="gramEnd"/>
                            <w:r>
                              <w:rPr>
                                <w:rFonts w:eastAsia="Calibri" w:hAnsi="Calibri" w:cs="Calibri"/>
                                <w:color w:val="000000"/>
                              </w:rPr>
                              <w:t xml:space="preserve"> useful.  It would be beneficial for future users not to make any restrictive decisions on throwing away data that can’t easily be checked themselves. </w:t>
                            </w:r>
                          </w:p>
                          <w:p w14:paraId="21F4273A" w14:textId="77777777" w:rsidR="00FD34E9" w:rsidRDefault="00EA3512" w:rsidP="00DE3467">
                            <w:pPr>
                              <w:spacing w:line="254" w:lineRule="auto"/>
                              <w:rPr>
                                <w:rFonts w:eastAsia="Calibri" w:hAnsi="Calibri" w:cs="Calibri"/>
                                <w:color w:val="000000"/>
                              </w:rPr>
                            </w:pPr>
                            <w:r>
                              <w:rPr>
                                <w:rFonts w:eastAsia="Calibri" w:hAnsi="Calibri" w:cs="Calibri"/>
                                <w:color w:val="000000"/>
                              </w:rPr>
                              <w:t>There might also be scenarios where for example, the data at the start of the record may be patchy, but the resulting 30+ years may be great data.</w:t>
                            </w:r>
                          </w:p>
                          <w:p w14:paraId="30F014B7" w14:textId="77777777" w:rsidR="00EB0F1D" w:rsidRDefault="00EA3512" w:rsidP="000E370D">
                            <w:pPr>
                              <w:spacing w:line="254" w:lineRule="auto"/>
                              <w:rPr>
                                <w:rFonts w:eastAsia="Calibri" w:hAnsi="Calibri" w:cs="Calibri"/>
                                <w:color w:val="000000"/>
                              </w:rPr>
                            </w:pPr>
                            <w:proofErr w:type="gramStart"/>
                            <w:r w:rsidRPr="00EB0F1D">
                              <w:rPr>
                                <w:rFonts w:eastAsia="Calibri" w:hAnsi="Calibri" w:cs="Calibri"/>
                                <w:b/>
                                <w:color w:val="000000"/>
                              </w:rPr>
                              <w:t>Therefore</w:t>
                            </w:r>
                            <w:proofErr w:type="gramEnd"/>
                            <w:r w:rsidRPr="00EB0F1D">
                              <w:rPr>
                                <w:rFonts w:eastAsia="Calibri" w:hAnsi="Calibri" w:cs="Calibri"/>
                                <w:b/>
                                <w:color w:val="000000"/>
                              </w:rPr>
                              <w:t xml:space="preserve"> we have changed the criteria to say that there shouldn’t be more a gap in the data of more than three years.</w:t>
                            </w:r>
                            <w:r w:rsidR="000E370D" w:rsidRPr="000E370D">
                              <w:rPr>
                                <w:rFonts w:eastAsia="Calibri" w:hAnsi="Calibri" w:cs="Calibri"/>
                                <w:color w:val="000000"/>
                              </w:rPr>
                              <w:t xml:space="preserve"> </w:t>
                            </w:r>
                            <w:r w:rsidR="000E370D">
                              <w:rPr>
                                <w:rFonts w:eastAsia="Calibri" w:hAnsi="Calibri" w:cs="Calibri"/>
                                <w:color w:val="000000"/>
                              </w:rPr>
                              <w:t xml:space="preserve"> </w:t>
                            </w:r>
                          </w:p>
                          <w:p w14:paraId="26306680" w14:textId="26BFE494" w:rsidR="00FD34E9" w:rsidRPr="00EB0F1D" w:rsidRDefault="000E370D" w:rsidP="00DE3467">
                            <w:pPr>
                              <w:spacing w:line="254" w:lineRule="auto"/>
                              <w:rPr>
                                <w:rFonts w:eastAsia="Calibri" w:hAnsi="Calibri" w:cs="Calibri"/>
                                <w:color w:val="000000"/>
                              </w:rPr>
                            </w:pPr>
                            <w:r>
                              <w:rPr>
                                <w:rFonts w:eastAsia="Calibri" w:hAnsi="Calibri" w:cs="Calibri"/>
                                <w:color w:val="000000"/>
                              </w:rPr>
                              <w:t xml:space="preserve">Any further filtering of missing data may then be done at the analysis stage, e.g. removing stations with more than x% missing data across the record, with the threshold of acceptable missing data dependent on the analysis methods being used. </w:t>
                            </w:r>
                            <w:r w:rsidR="00CF7736">
                              <w:rPr>
                                <w:rFonts w:eastAsia="Calibri" w:hAnsi="Calibri" w:cs="Calibri"/>
                                <w:color w:val="000000"/>
                              </w:rPr>
                              <w:t xml:space="preserve"> </w:t>
                            </w:r>
                            <w:r w:rsidR="00CF7736" w:rsidRPr="00CF7736">
                              <w:rPr>
                                <w:rFonts w:eastAsia="Calibri" w:hAnsi="Calibri" w:cs="Calibri"/>
                                <w:color w:val="000000"/>
                              </w:rPr>
                              <w:t xml:space="preserve">Ultimately, the analyses performed will dictate whether a station has too much missing data to be included, therefore we have decided to remove the missing data element to the Level 2 criteria so that we are being inclusive as possible. If agencies and organisations wish to infill </w:t>
                            </w:r>
                            <w:proofErr w:type="gramStart"/>
                            <w:r w:rsidR="00CF7736" w:rsidRPr="00CF7736">
                              <w:rPr>
                                <w:rFonts w:eastAsia="Calibri" w:hAnsi="Calibri" w:cs="Calibri"/>
                                <w:color w:val="000000"/>
                              </w:rPr>
                              <w:t>data</w:t>
                            </w:r>
                            <w:proofErr w:type="gramEnd"/>
                            <w:r w:rsidR="00CF7736" w:rsidRPr="00CF7736">
                              <w:rPr>
                                <w:rFonts w:eastAsia="Calibri" w:hAnsi="Calibri" w:cs="Calibri"/>
                                <w:color w:val="000000"/>
                              </w:rPr>
                              <w:t xml:space="preserve"> this is welcomed as long as it is submitted with the relevant flags. Minimal missing data in gauging station data records will lead to better trend detection results, therefore we are leaving the missing data criteria on the Level 1 section. However, we hope this update outlines our position that we are aiming to be as inclusive as possible.</w:t>
                            </w:r>
                          </w:p>
                        </w:txbxContent>
                      </wps:txbx>
                      <wps:bodyPr spcFirstLastPara="0" wrap="square" lIns="91440" tIns="45720" rIns="91440" bIns="45720" anchor="t">
                        <a:noAutofit/>
                      </wps:bodyPr>
                    </wps:wsp>
                  </a:graphicData>
                </a:graphic>
              </wp:inline>
            </w:drawing>
          </mc:Choice>
          <mc:Fallback>
            <w:pict>
              <v:rect w14:anchorId="5A8AA951" id="Rectangle 6" o:spid="_x0000_s1030" style="width:485.25pt;height:2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mQgIAAAAFAAAOAAAAZHJzL2Uyb0RvYy54bWysVMGO0zAQvSPxD5bvNElp023VdIVYFSEt&#10;ULHwAa5jN5Yc29huk/49YztNC8sKCdGDa49n3rx5nsn6vm8lOjHrhFYVLiY5RkxRXQt1qPD3b9s3&#10;dxg5T1RNpFaswmfm8P3m9at1Z1Zsqhsta2YRgCi36kyFG+/NKsscbVhL3EQbpuCSa9sSD0d7yGpL&#10;OkBvZTbN8zLrtK2N1ZQ5B9aHdIk3EZ9zRv0Xzh3zSFYYuPm42rjuw5pt1mR1sMQ0gg40yD+waIlQ&#10;kHSEeiCeoKMVz6BaQa12mvsJ1W2mOReUxRqgmiL/rZqnhhgWawFxnBllcv8Pln4+PZmdBRk641YO&#10;tqGKnts2/AM/1EexzqNYrPeIgrEsymm5mGNE4e7torxbFssgZ3YNN9b5D0y3KGwqbOE1okjk9Oh8&#10;cr24hGxOS1FvhZTxEDqAvZcWnQi8HaGUKV/EcHlsP+k62cscfukVwQxvncyzixnYxF4KSJHbL0mk&#10;+lve/aEYiroJBNAQmV0lizt/lizgSfWVcSRqEGkaCY8MntfiGlKzZJ6/yDkCBmQO4ozYSYwXsJO6&#10;g38IZXEYxuB8IGYP+6BxmggYWZiRy1xAlWNQTK6VH+NbobT9U3ESHmlInvwvOiV1glC+3/cgT4Vn&#10;wTNY9ro+7yxyhm4FtMojcX5HLAwi0OlgOCvsfhyJZRjJjwq6f1nMZmGa42E2X0zhYG9v9rc3RNFG&#10;Q4Wp+ZR+d/Sai9iA1+QDTRiz2CbDJyHM8e05el0/XJufAAAA//8DAFBLAwQUAAYACAAAACEA/I0y&#10;SN8AAAAFAQAADwAAAGRycy9kb3ducmV2LnhtbEyPUUvDMBSF3wX/Q7iDvbl0k7q1Nh06GAPdi50g&#10;vqXNtSlrbkqSbdVfb/RFXy4czuGc7xbr0fTsjM53lgTMZwkwpMaqjloBr4ftzQqYD5KU7C2hgE/0&#10;sC6vrwqZK3uhFzxXoWWxhHwuBegQhpxz32g00s/sgBS9D+uMDFG6lisnL7Hc9HyRJHfcyI7igpYD&#10;bjQ2x+pkBDw/7Vbu651Xj/VSZ4f9W3Vc7DZCTCfjwz2wgGP4C8MPfkSHMjLV9kTKs15AfCT83uhl&#10;yyQFVgtIs9sUeFnw//TlNwAAAP//AwBQSwECLQAUAAYACAAAACEAtoM4kv4AAADhAQAAEwAAAAAA&#10;AAAAAAAAAAAAAAAAW0NvbnRlbnRfVHlwZXNdLnhtbFBLAQItABQABgAIAAAAIQA4/SH/1gAAAJQB&#10;AAALAAAAAAAAAAAAAAAAAC8BAABfcmVscy8ucmVsc1BLAQItABQABgAIAAAAIQAS+r5mQgIAAAAF&#10;AAAOAAAAAAAAAAAAAAAAAC4CAABkcnMvZTJvRG9jLnhtbFBLAQItABQABgAIAAAAIQD8jTJI3wAA&#10;AAUBAAAPAAAAAAAAAAAAAAAAAJwEAABkcnMvZG93bnJldi54bWxQSwUGAAAAAAQABADzAAAAqAUA&#10;AAAA&#10;" fillcolor="#9cc2e5 [1940]" strokecolor="white [3212]" strokeweight="1pt">
                <v:textbox>
                  <w:txbxContent>
                    <w:p w14:paraId="41095756" w14:textId="7AC4626F" w:rsidR="00FD34E9" w:rsidRDefault="0023373F" w:rsidP="00DE3467">
                      <w:pPr>
                        <w:spacing w:line="254" w:lineRule="auto"/>
                        <w:rPr>
                          <w:rFonts w:eastAsia="Calibri" w:hAnsi="Calibri" w:cs="Calibri"/>
                          <w:i/>
                          <w:iCs/>
                          <w:color w:val="000000"/>
                          <w:lang w:val="en-US"/>
                        </w:rPr>
                      </w:pPr>
                      <w:r>
                        <w:rPr>
                          <w:rFonts w:eastAsia="Calibri" w:hAnsi="Calibri" w:cs="Calibri"/>
                          <w:i/>
                          <w:iCs/>
                          <w:color w:val="000000"/>
                        </w:rPr>
                        <w:t>Summary of w</w:t>
                      </w:r>
                      <w:r w:rsidR="00EA3512">
                        <w:rPr>
                          <w:rFonts w:eastAsia="Calibri" w:hAnsi="Calibri" w:cs="Calibri"/>
                          <w:i/>
                          <w:iCs/>
                          <w:color w:val="000000"/>
                        </w:rPr>
                        <w:t>orkshop discussion</w:t>
                      </w:r>
                    </w:p>
                    <w:p w14:paraId="1E684A39" w14:textId="77777777" w:rsidR="00FD34E9" w:rsidRDefault="00EA3512" w:rsidP="00DE3467">
                      <w:pPr>
                        <w:spacing w:line="254" w:lineRule="auto"/>
                        <w:rPr>
                          <w:rFonts w:eastAsia="Calibri" w:hAnsi="Calibri" w:cs="Calibri"/>
                          <w:color w:val="000000"/>
                        </w:rPr>
                      </w:pPr>
                      <w:r>
                        <w:rPr>
                          <w:rFonts w:eastAsia="Calibri" w:hAnsi="Calibri" w:cs="Calibri"/>
                          <w:color w:val="000000"/>
                        </w:rPr>
                        <w:t xml:space="preserve">It was felt that specifying a percentage of missing data might not be the most helpful way assessing station suitability and may end up throwing away a lot of data that might </w:t>
                      </w:r>
                      <w:proofErr w:type="gramStart"/>
                      <w:r>
                        <w:rPr>
                          <w:rFonts w:eastAsia="Calibri" w:hAnsi="Calibri" w:cs="Calibri"/>
                          <w:color w:val="000000"/>
                        </w:rPr>
                        <w:t>actually be</w:t>
                      </w:r>
                      <w:proofErr w:type="gramEnd"/>
                      <w:r>
                        <w:rPr>
                          <w:rFonts w:eastAsia="Calibri" w:hAnsi="Calibri" w:cs="Calibri"/>
                          <w:color w:val="000000"/>
                        </w:rPr>
                        <w:t xml:space="preserve"> useful.  It would be beneficial for future users not to make any restrictive decisions on throwing away data that can’t easily be checked themselves. </w:t>
                      </w:r>
                    </w:p>
                    <w:p w14:paraId="21F4273A" w14:textId="77777777" w:rsidR="00FD34E9" w:rsidRDefault="00EA3512" w:rsidP="00DE3467">
                      <w:pPr>
                        <w:spacing w:line="254" w:lineRule="auto"/>
                        <w:rPr>
                          <w:rFonts w:eastAsia="Calibri" w:hAnsi="Calibri" w:cs="Calibri"/>
                          <w:color w:val="000000"/>
                        </w:rPr>
                      </w:pPr>
                      <w:r>
                        <w:rPr>
                          <w:rFonts w:eastAsia="Calibri" w:hAnsi="Calibri" w:cs="Calibri"/>
                          <w:color w:val="000000"/>
                        </w:rPr>
                        <w:t>There might also be scenarios where for example, the data at the start of the record may be patchy, but the resulting 30+ years may be great data.</w:t>
                      </w:r>
                    </w:p>
                    <w:p w14:paraId="30F014B7" w14:textId="77777777" w:rsidR="00EB0F1D" w:rsidRDefault="00EA3512" w:rsidP="000E370D">
                      <w:pPr>
                        <w:spacing w:line="254" w:lineRule="auto"/>
                        <w:rPr>
                          <w:rFonts w:eastAsia="Calibri" w:hAnsi="Calibri" w:cs="Calibri"/>
                          <w:color w:val="000000"/>
                        </w:rPr>
                      </w:pPr>
                      <w:proofErr w:type="gramStart"/>
                      <w:r w:rsidRPr="00EB0F1D">
                        <w:rPr>
                          <w:rFonts w:eastAsia="Calibri" w:hAnsi="Calibri" w:cs="Calibri"/>
                          <w:b/>
                          <w:color w:val="000000"/>
                        </w:rPr>
                        <w:t>Therefore</w:t>
                      </w:r>
                      <w:proofErr w:type="gramEnd"/>
                      <w:r w:rsidRPr="00EB0F1D">
                        <w:rPr>
                          <w:rFonts w:eastAsia="Calibri" w:hAnsi="Calibri" w:cs="Calibri"/>
                          <w:b/>
                          <w:color w:val="000000"/>
                        </w:rPr>
                        <w:t xml:space="preserve"> we have changed the criteria to say that there shouldn’t be more a gap in the data of more than three years.</w:t>
                      </w:r>
                      <w:r w:rsidR="000E370D" w:rsidRPr="000E370D">
                        <w:rPr>
                          <w:rFonts w:eastAsia="Calibri" w:hAnsi="Calibri" w:cs="Calibri"/>
                          <w:color w:val="000000"/>
                        </w:rPr>
                        <w:t xml:space="preserve"> </w:t>
                      </w:r>
                      <w:r w:rsidR="000E370D">
                        <w:rPr>
                          <w:rFonts w:eastAsia="Calibri" w:hAnsi="Calibri" w:cs="Calibri"/>
                          <w:color w:val="000000"/>
                        </w:rPr>
                        <w:t xml:space="preserve"> </w:t>
                      </w:r>
                    </w:p>
                    <w:p w14:paraId="26306680" w14:textId="26BFE494" w:rsidR="00FD34E9" w:rsidRPr="00EB0F1D" w:rsidRDefault="000E370D" w:rsidP="00DE3467">
                      <w:pPr>
                        <w:spacing w:line="254" w:lineRule="auto"/>
                        <w:rPr>
                          <w:rFonts w:eastAsia="Calibri" w:hAnsi="Calibri" w:cs="Calibri"/>
                          <w:color w:val="000000"/>
                        </w:rPr>
                      </w:pPr>
                      <w:r>
                        <w:rPr>
                          <w:rFonts w:eastAsia="Calibri" w:hAnsi="Calibri" w:cs="Calibri"/>
                          <w:color w:val="000000"/>
                        </w:rPr>
                        <w:t xml:space="preserve">Any further filtering of missing data may then be done at the analysis stage, e.g. removing stations with more than x% missing data across the record, with the threshold of acceptable missing data dependent on the analysis methods being used. </w:t>
                      </w:r>
                      <w:r w:rsidR="00CF7736">
                        <w:rPr>
                          <w:rFonts w:eastAsia="Calibri" w:hAnsi="Calibri" w:cs="Calibri"/>
                          <w:color w:val="000000"/>
                        </w:rPr>
                        <w:t xml:space="preserve"> </w:t>
                      </w:r>
                      <w:r w:rsidR="00CF7736" w:rsidRPr="00CF7736">
                        <w:rPr>
                          <w:rFonts w:eastAsia="Calibri" w:hAnsi="Calibri" w:cs="Calibri"/>
                          <w:color w:val="000000"/>
                        </w:rPr>
                        <w:t xml:space="preserve">Ultimately, the analyses performed will dictate whether a station has too much missing data to be included, therefore we have decided to remove the missing data element to the Level 2 criteria so that we are being inclusive as possible. If agencies and organisations wish to infill </w:t>
                      </w:r>
                      <w:proofErr w:type="gramStart"/>
                      <w:r w:rsidR="00CF7736" w:rsidRPr="00CF7736">
                        <w:rPr>
                          <w:rFonts w:eastAsia="Calibri" w:hAnsi="Calibri" w:cs="Calibri"/>
                          <w:color w:val="000000"/>
                        </w:rPr>
                        <w:t>data</w:t>
                      </w:r>
                      <w:proofErr w:type="gramEnd"/>
                      <w:r w:rsidR="00CF7736" w:rsidRPr="00CF7736">
                        <w:rPr>
                          <w:rFonts w:eastAsia="Calibri" w:hAnsi="Calibri" w:cs="Calibri"/>
                          <w:color w:val="000000"/>
                        </w:rPr>
                        <w:t xml:space="preserve"> this is welcomed as long as it is submitted with the relevant flags. Minimal missing data in gauging station data records will lead to better trend detection results, therefore we are leaving the missing data criteria on the Level 1 section. However, we hope this update outlines our position that we are aiming to be as inclusive as possible.</w:t>
                      </w:r>
                    </w:p>
                  </w:txbxContent>
                </v:textbox>
                <w10:anchorlock/>
              </v:rect>
            </w:pict>
          </mc:Fallback>
        </mc:AlternateContent>
      </w:r>
    </w:p>
    <w:tbl>
      <w:tblPr>
        <w:tblStyle w:val="TableGrid"/>
        <w:tblW w:w="9776" w:type="dxa"/>
        <w:tblLook w:val="04A0" w:firstRow="1" w:lastRow="0" w:firstColumn="1" w:lastColumn="0" w:noHBand="0" w:noVBand="1"/>
      </w:tblPr>
      <w:tblGrid>
        <w:gridCol w:w="4888"/>
        <w:gridCol w:w="4888"/>
      </w:tblGrid>
      <w:tr w:rsidR="0023373F" w:rsidRPr="00D567C6" w14:paraId="2E67659F" w14:textId="77777777" w:rsidTr="005441C8">
        <w:tc>
          <w:tcPr>
            <w:tcW w:w="9776" w:type="dxa"/>
            <w:gridSpan w:val="2"/>
          </w:tcPr>
          <w:p w14:paraId="59585FFD" w14:textId="0A51B4B5" w:rsidR="0023373F" w:rsidRPr="00D567C6" w:rsidRDefault="0023373F" w:rsidP="00AA2E8D">
            <w:pPr>
              <w:jc w:val="both"/>
              <w:rPr>
                <w:b/>
              </w:rPr>
            </w:pPr>
            <w:r>
              <w:rPr>
                <w:b/>
              </w:rPr>
              <w:t xml:space="preserve">Missing Data Criteria </w:t>
            </w:r>
          </w:p>
        </w:tc>
      </w:tr>
      <w:tr w:rsidR="00D567C6" w:rsidRPr="00D567C6" w14:paraId="7D09B0DB" w14:textId="77777777" w:rsidTr="005441C8">
        <w:tc>
          <w:tcPr>
            <w:tcW w:w="9776" w:type="dxa"/>
            <w:gridSpan w:val="2"/>
          </w:tcPr>
          <w:p w14:paraId="2E6B2DE1" w14:textId="77777777" w:rsidR="00D567C6" w:rsidRPr="00D567C6" w:rsidRDefault="00D567C6" w:rsidP="00AA2E8D">
            <w:pPr>
              <w:jc w:val="both"/>
              <w:rPr>
                <w:b/>
              </w:rPr>
            </w:pPr>
            <w:r w:rsidRPr="00D567C6">
              <w:rPr>
                <w:b/>
              </w:rPr>
              <w:t>Level 1 and 2 Network</w:t>
            </w:r>
          </w:p>
        </w:tc>
      </w:tr>
      <w:tr w:rsidR="00CF7736" w:rsidRPr="00D567C6" w14:paraId="2A07C5DB" w14:textId="77777777" w:rsidTr="00A87FFB">
        <w:tc>
          <w:tcPr>
            <w:tcW w:w="4888" w:type="dxa"/>
          </w:tcPr>
          <w:p w14:paraId="035FAE3B" w14:textId="77777777" w:rsidR="00CF7736" w:rsidRPr="00D567C6" w:rsidRDefault="00CF7736" w:rsidP="00AA2E8D">
            <w:pPr>
              <w:jc w:val="both"/>
            </w:pPr>
            <w:r>
              <w:t>No data gaps longer than three years.</w:t>
            </w:r>
          </w:p>
        </w:tc>
        <w:tc>
          <w:tcPr>
            <w:tcW w:w="4888" w:type="dxa"/>
          </w:tcPr>
          <w:p w14:paraId="69A49AC1" w14:textId="6E48C322" w:rsidR="00CF7736" w:rsidRPr="00D567C6" w:rsidRDefault="00CF7736" w:rsidP="00AA2E8D">
            <w:pPr>
              <w:jc w:val="both"/>
            </w:pPr>
            <w:r>
              <w:t>n/a</w:t>
            </w:r>
          </w:p>
        </w:tc>
      </w:tr>
    </w:tbl>
    <w:p w14:paraId="475BE7D3" w14:textId="3FE252A5" w:rsidR="00EF3FE4" w:rsidRPr="00D567C6" w:rsidRDefault="00EF3FE4" w:rsidP="00EF3FE4">
      <w:pPr>
        <w:pStyle w:val="Heading1"/>
        <w:jc w:val="both"/>
        <w:rPr>
          <w:rStyle w:val="Heading1Char"/>
        </w:rPr>
      </w:pPr>
      <w:r>
        <w:lastRenderedPageBreak/>
        <w:t>Other comments</w:t>
      </w:r>
    </w:p>
    <w:p w14:paraId="6A05A809" w14:textId="0629B1DC" w:rsidR="00D567C6" w:rsidRDefault="00EF3FE4" w:rsidP="00EB0F1D">
      <w:r>
        <w:rPr>
          <w:noProof/>
          <w:lang w:eastAsia="en-GB"/>
        </w:rPr>
        <mc:AlternateContent>
          <mc:Choice Requires="wps">
            <w:drawing>
              <wp:inline distT="0" distB="0" distL="0" distR="0" wp14:anchorId="0898ED16" wp14:editId="6B39419B">
                <wp:extent cx="6162675" cy="5538039"/>
                <wp:effectExtent l="0" t="0" r="28575" b="24765"/>
                <wp:docPr id="7" name="Rectangle 7"/>
                <wp:cNvGraphicFramePr/>
                <a:graphic xmlns:a="http://schemas.openxmlformats.org/drawingml/2006/main">
                  <a:graphicData uri="http://schemas.microsoft.com/office/word/2010/wordprocessingShape">
                    <wps:wsp>
                      <wps:cNvSpPr/>
                      <wps:spPr>
                        <a:xfrm>
                          <a:off x="0" y="0"/>
                          <a:ext cx="6162675" cy="5538039"/>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87ED5B8" w14:textId="14B6EEF0" w:rsidR="00FD34E9" w:rsidRDefault="0023373F" w:rsidP="00572B97">
                            <w:pPr>
                              <w:spacing w:line="254" w:lineRule="auto"/>
                              <w:rPr>
                                <w:rFonts w:eastAsia="Calibri" w:hAnsi="Calibri" w:cs="Calibri"/>
                                <w:i/>
                                <w:iCs/>
                                <w:color w:val="000000"/>
                              </w:rPr>
                            </w:pPr>
                            <w:r>
                              <w:rPr>
                                <w:rFonts w:eastAsia="Calibri" w:hAnsi="Calibri" w:cs="Calibri"/>
                                <w:i/>
                                <w:iCs/>
                                <w:color w:val="000000"/>
                              </w:rPr>
                              <w:t xml:space="preserve">Summary of workshop </w:t>
                            </w:r>
                            <w:r w:rsidR="00EA3512">
                              <w:rPr>
                                <w:rFonts w:eastAsia="Calibri" w:hAnsi="Calibri" w:cs="Calibri"/>
                                <w:i/>
                                <w:iCs/>
                                <w:color w:val="000000"/>
                              </w:rPr>
                              <w:t>discussion</w:t>
                            </w:r>
                          </w:p>
                          <w:p w14:paraId="34D9EB5B"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Station Inclusion</w:t>
                            </w:r>
                          </w:p>
                          <w:p w14:paraId="2726D11C" w14:textId="2BEB7C84" w:rsidR="00FD34E9" w:rsidRDefault="00EA3512" w:rsidP="00572B97">
                            <w:pPr>
                              <w:spacing w:line="254" w:lineRule="auto"/>
                              <w:rPr>
                                <w:rFonts w:eastAsia="Calibri" w:hAnsi="Calibri" w:cs="Calibri"/>
                                <w:color w:val="000000"/>
                              </w:rPr>
                            </w:pPr>
                            <w:r>
                              <w:rPr>
                                <w:rFonts w:eastAsia="Calibri" w:hAnsi="Calibri" w:cs="Calibri"/>
                                <w:color w:val="000000"/>
                              </w:rPr>
                              <w:t xml:space="preserve">Stations do not need to necessarily be operational, but </w:t>
                            </w:r>
                            <w:proofErr w:type="gramStart"/>
                            <w:r>
                              <w:rPr>
                                <w:rFonts w:eastAsia="Calibri" w:hAnsi="Calibri" w:cs="Calibri"/>
                                <w:color w:val="000000"/>
                              </w:rPr>
                              <w:t>in order to</w:t>
                            </w:r>
                            <w:proofErr w:type="gramEnd"/>
                            <w:r>
                              <w:rPr>
                                <w:rFonts w:eastAsia="Calibri" w:hAnsi="Calibri" w:cs="Calibri"/>
                                <w:color w:val="000000"/>
                              </w:rPr>
                              <w:t xml:space="preserve"> provide up-to-date relevant trends assessments</w:t>
                            </w:r>
                            <w:r w:rsidR="004D3EAB">
                              <w:rPr>
                                <w:rFonts w:eastAsia="Calibri" w:hAnsi="Calibri" w:cs="Calibri"/>
                                <w:color w:val="000000"/>
                              </w:rPr>
                              <w:t xml:space="preserve"> and for the legacy of ROBIN</w:t>
                            </w:r>
                            <w:r>
                              <w:rPr>
                                <w:rFonts w:eastAsia="Calibri" w:hAnsi="Calibri" w:cs="Calibri"/>
                                <w:color w:val="000000"/>
                              </w:rPr>
                              <w:t>, it would be preferred</w:t>
                            </w:r>
                            <w:r w:rsidR="004D3EAB">
                              <w:rPr>
                                <w:rFonts w:eastAsia="Calibri" w:hAnsi="Calibri" w:cs="Calibri"/>
                                <w:color w:val="000000"/>
                              </w:rPr>
                              <w:t xml:space="preserve"> if they were still operational</w:t>
                            </w:r>
                            <w:r>
                              <w:rPr>
                                <w:rFonts w:eastAsia="Calibri" w:hAnsi="Calibri" w:cs="Calibri"/>
                                <w:color w:val="000000"/>
                              </w:rPr>
                              <w:t>.  We discussed combined records (</w:t>
                            </w:r>
                            <w:r w:rsidR="004D3EAB">
                              <w:rPr>
                                <w:rFonts w:eastAsia="Calibri" w:hAnsi="Calibri" w:cs="Calibri"/>
                                <w:color w:val="000000"/>
                              </w:rPr>
                              <w:t xml:space="preserve">e.g. </w:t>
                            </w:r>
                            <w:r>
                              <w:rPr>
                                <w:rFonts w:eastAsia="Calibri" w:hAnsi="Calibri" w:cs="Calibri"/>
                                <w:color w:val="000000"/>
                              </w:rPr>
                              <w:t xml:space="preserve">where station have moved) and whether they could be included.  </w:t>
                            </w:r>
                            <w:r w:rsidR="004D3EAB">
                              <w:rPr>
                                <w:rFonts w:eastAsia="Calibri" w:hAnsi="Calibri" w:cs="Calibri"/>
                                <w:color w:val="000000"/>
                              </w:rPr>
                              <w:t xml:space="preserve">It was decided that </w:t>
                            </w:r>
                            <w:proofErr w:type="gramStart"/>
                            <w:r w:rsidR="004D3EAB">
                              <w:rPr>
                                <w:rFonts w:eastAsia="Calibri" w:hAnsi="Calibri" w:cs="Calibri"/>
                                <w:color w:val="000000"/>
                              </w:rPr>
                              <w:t>a</w:t>
                            </w:r>
                            <w:r>
                              <w:rPr>
                                <w:rFonts w:eastAsia="Calibri" w:hAnsi="Calibri" w:cs="Calibri"/>
                                <w:color w:val="000000"/>
                              </w:rPr>
                              <w:t>s long as</w:t>
                            </w:r>
                            <w:proofErr w:type="gramEnd"/>
                            <w:r>
                              <w:rPr>
                                <w:rFonts w:eastAsia="Calibri" w:hAnsi="Calibri" w:cs="Calibri"/>
                                <w:color w:val="000000"/>
                              </w:rPr>
                              <w:t xml:space="preserve"> there is no step change in the record (a change point analysis could be carried out) and the combined station still </w:t>
                            </w:r>
                            <w:r w:rsidR="004D3EAB">
                              <w:rPr>
                                <w:rFonts w:eastAsia="Calibri" w:hAnsi="Calibri" w:cs="Calibri"/>
                                <w:color w:val="000000"/>
                              </w:rPr>
                              <w:t>meets</w:t>
                            </w:r>
                            <w:r>
                              <w:rPr>
                                <w:rFonts w:eastAsia="Calibri" w:hAnsi="Calibri" w:cs="Calibri"/>
                                <w:color w:val="000000"/>
                              </w:rPr>
                              <w:t xml:space="preserve"> the ROBIN </w:t>
                            </w:r>
                            <w:r w:rsidR="004D3EAB">
                              <w:rPr>
                                <w:rFonts w:eastAsia="Calibri" w:hAnsi="Calibri" w:cs="Calibri"/>
                                <w:color w:val="000000"/>
                              </w:rPr>
                              <w:t>N</w:t>
                            </w:r>
                            <w:r>
                              <w:rPr>
                                <w:rFonts w:eastAsia="Calibri" w:hAnsi="Calibri" w:cs="Calibri"/>
                                <w:color w:val="000000"/>
                              </w:rPr>
                              <w:t xml:space="preserve">etwork </w:t>
                            </w:r>
                            <w:r w:rsidR="004D3EAB">
                              <w:rPr>
                                <w:rFonts w:eastAsia="Calibri" w:hAnsi="Calibri" w:cs="Calibri"/>
                                <w:color w:val="000000"/>
                              </w:rPr>
                              <w:t>C</w:t>
                            </w:r>
                            <w:r>
                              <w:rPr>
                                <w:rFonts w:eastAsia="Calibri" w:hAnsi="Calibri" w:cs="Calibri"/>
                                <w:color w:val="000000"/>
                              </w:rPr>
                              <w:t xml:space="preserve">riteria then </w:t>
                            </w:r>
                            <w:r w:rsidR="004D3EAB">
                              <w:rPr>
                                <w:rFonts w:eastAsia="Calibri" w:hAnsi="Calibri" w:cs="Calibri"/>
                                <w:color w:val="000000"/>
                              </w:rPr>
                              <w:t>combined records can be included</w:t>
                            </w:r>
                            <w:r>
                              <w:rPr>
                                <w:rFonts w:eastAsia="Calibri" w:hAnsi="Calibri" w:cs="Calibri"/>
                                <w:color w:val="000000"/>
                              </w:rPr>
                              <w:t>.</w:t>
                            </w:r>
                          </w:p>
                          <w:p w14:paraId="1730EADA"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Metadata</w:t>
                            </w:r>
                          </w:p>
                          <w:p w14:paraId="4AAE7234" w14:textId="0F3BA8A7" w:rsidR="00FD34E9" w:rsidRDefault="00EA3512" w:rsidP="00572B97">
                            <w:pPr>
                              <w:spacing w:line="254" w:lineRule="auto"/>
                              <w:rPr>
                                <w:rFonts w:eastAsia="Calibri" w:hAnsi="Calibri" w:cs="Calibri"/>
                                <w:color w:val="000000"/>
                              </w:rPr>
                            </w:pPr>
                            <w:r>
                              <w:rPr>
                                <w:rFonts w:eastAsia="Calibri" w:hAnsi="Calibri" w:cs="Calibri"/>
                                <w:color w:val="000000"/>
                              </w:rPr>
                              <w:t xml:space="preserve">In-country metadata, if available, </w:t>
                            </w:r>
                            <w:r w:rsidR="004D3EAB">
                              <w:rPr>
                                <w:rFonts w:eastAsia="Calibri" w:hAnsi="Calibri" w:cs="Calibri"/>
                                <w:color w:val="000000"/>
                              </w:rPr>
                              <w:t xml:space="preserve">will </w:t>
                            </w:r>
                            <w:r>
                              <w:rPr>
                                <w:rFonts w:eastAsia="Calibri" w:hAnsi="Calibri" w:cs="Calibri"/>
                                <w:color w:val="000000"/>
                              </w:rPr>
                              <w:t>be used as default</w:t>
                            </w:r>
                            <w:r w:rsidR="004D3EAB">
                              <w:rPr>
                                <w:rFonts w:eastAsia="Calibri" w:hAnsi="Calibri" w:cs="Calibri"/>
                                <w:color w:val="000000"/>
                              </w:rPr>
                              <w:t xml:space="preserve">. </w:t>
                            </w:r>
                            <w:proofErr w:type="gramStart"/>
                            <w:r w:rsidR="004D3EAB">
                              <w:rPr>
                                <w:rFonts w:eastAsia="Calibri" w:hAnsi="Calibri" w:cs="Calibri"/>
                                <w:color w:val="000000"/>
                              </w:rPr>
                              <w:t>H</w:t>
                            </w:r>
                            <w:r>
                              <w:rPr>
                                <w:rFonts w:eastAsia="Calibri" w:hAnsi="Calibri" w:cs="Calibri"/>
                                <w:color w:val="000000"/>
                              </w:rPr>
                              <w:t>owever</w:t>
                            </w:r>
                            <w:proofErr w:type="gramEnd"/>
                            <w:r>
                              <w:rPr>
                                <w:rFonts w:eastAsia="Calibri" w:hAnsi="Calibri" w:cs="Calibri"/>
                                <w:color w:val="000000"/>
                              </w:rPr>
                              <w:t xml:space="preserve"> </w:t>
                            </w:r>
                            <w:r w:rsidR="004D3EAB">
                              <w:rPr>
                                <w:rFonts w:eastAsia="Calibri" w:hAnsi="Calibri" w:cs="Calibri"/>
                                <w:color w:val="000000"/>
                              </w:rPr>
                              <w:t xml:space="preserve">where </w:t>
                            </w:r>
                            <w:r>
                              <w:rPr>
                                <w:rFonts w:eastAsia="Calibri" w:hAnsi="Calibri" w:cs="Calibri"/>
                                <w:color w:val="000000"/>
                              </w:rPr>
                              <w:t xml:space="preserve">metadata isn’t available we would look towards deriving from </w:t>
                            </w:r>
                            <w:r w:rsidR="004D3EAB">
                              <w:rPr>
                                <w:rFonts w:eastAsia="Calibri" w:hAnsi="Calibri" w:cs="Calibri"/>
                                <w:color w:val="000000"/>
                              </w:rPr>
                              <w:t xml:space="preserve">global </w:t>
                            </w:r>
                            <w:r>
                              <w:rPr>
                                <w:rFonts w:eastAsia="Calibri" w:hAnsi="Calibri" w:cs="Calibri"/>
                                <w:color w:val="000000"/>
                              </w:rPr>
                              <w:t xml:space="preserve">datasets such as CARAVAN, </w:t>
                            </w:r>
                            <w:hyperlink r:id="rId12" w:history="1">
                              <w:r w:rsidRPr="00EB0F1D">
                                <w:rPr>
                                  <w:rStyle w:val="Hyperlink"/>
                                  <w:rFonts w:eastAsia="Calibri" w:hAnsi="Calibri" w:cs="Calibri"/>
                                </w:rPr>
                                <w:t>GSIM</w:t>
                              </w:r>
                            </w:hyperlink>
                            <w:r w:rsidR="004D3EAB">
                              <w:rPr>
                                <w:rFonts w:eastAsia="Calibri" w:hAnsi="Calibri" w:cs="Calibri"/>
                                <w:color w:val="000000"/>
                              </w:rPr>
                              <w:t xml:space="preserve"> etc</w:t>
                            </w:r>
                            <w:r>
                              <w:rPr>
                                <w:rFonts w:eastAsia="Calibri" w:hAnsi="Calibri" w:cs="Calibri"/>
                                <w:color w:val="000000"/>
                              </w:rPr>
                              <w:t>. It is very important to flag where this metadata has come from.</w:t>
                            </w:r>
                          </w:p>
                          <w:p w14:paraId="216019E5" w14:textId="77777777" w:rsidR="00FD34E9" w:rsidRDefault="00EA3512" w:rsidP="00572B97">
                            <w:pPr>
                              <w:spacing w:line="254" w:lineRule="auto"/>
                              <w:rPr>
                                <w:rFonts w:eastAsia="Calibri" w:hAnsi="Calibri" w:cs="Calibri"/>
                                <w:color w:val="000000"/>
                              </w:rPr>
                            </w:pPr>
                            <w:r>
                              <w:rPr>
                                <w:rFonts w:eastAsia="Calibri" w:hAnsi="Calibri" w:cs="Calibri"/>
                                <w:color w:val="000000"/>
                              </w:rPr>
                              <w:t>Minimum requirements should include the catchment boundary and catchment area.</w:t>
                            </w:r>
                          </w:p>
                          <w:p w14:paraId="7ECE3A55"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Data Sharing</w:t>
                            </w:r>
                          </w:p>
                          <w:p w14:paraId="48A0CE68" w14:textId="6F410B8B" w:rsidR="00FD34E9" w:rsidRDefault="00EA3512" w:rsidP="00572B97">
                            <w:pPr>
                              <w:spacing w:line="254" w:lineRule="auto"/>
                              <w:rPr>
                                <w:rFonts w:eastAsia="Calibri" w:hAnsi="Calibri" w:cs="Calibri"/>
                                <w:color w:val="000000"/>
                              </w:rPr>
                            </w:pPr>
                            <w:r>
                              <w:rPr>
                                <w:rFonts w:eastAsia="Calibri" w:hAnsi="Calibri" w:cs="Calibri"/>
                                <w:color w:val="000000"/>
                              </w:rPr>
                              <w:t xml:space="preserve">If you are unable to share raw flow data with </w:t>
                            </w:r>
                            <w:r w:rsidR="004D3EAB">
                              <w:rPr>
                                <w:rFonts w:eastAsia="Calibri" w:hAnsi="Calibri" w:cs="Calibri"/>
                                <w:color w:val="000000"/>
                              </w:rPr>
                              <w:t>ROBIN</w:t>
                            </w:r>
                            <w:r>
                              <w:rPr>
                                <w:rFonts w:eastAsia="Calibri" w:hAnsi="Calibri" w:cs="Calibri"/>
                                <w:color w:val="000000"/>
                              </w:rPr>
                              <w:t xml:space="preserve">, </w:t>
                            </w:r>
                            <w:proofErr w:type="gramStart"/>
                            <w:r>
                              <w:rPr>
                                <w:rFonts w:eastAsia="Calibri" w:hAnsi="Calibri" w:cs="Calibri"/>
                                <w:color w:val="000000"/>
                              </w:rPr>
                              <w:t>later on</w:t>
                            </w:r>
                            <w:proofErr w:type="gramEnd"/>
                            <w:r>
                              <w:rPr>
                                <w:rFonts w:eastAsia="Calibri" w:hAnsi="Calibri" w:cs="Calibri"/>
                                <w:color w:val="000000"/>
                              </w:rPr>
                              <w:t xml:space="preserve"> in the process we will share scripts / codes to derive the indicators that we will be using in the analysis.  We are hopeful you will then be able to share the derived indicators with us.</w:t>
                            </w:r>
                            <w:r w:rsidR="004D3EAB">
                              <w:rPr>
                                <w:rFonts w:eastAsia="Calibri" w:hAnsi="Calibri" w:cs="Calibri"/>
                                <w:color w:val="000000"/>
                              </w:rPr>
                              <w:t xml:space="preserve"> See the Data Submission document for more information.</w:t>
                            </w:r>
                          </w:p>
                          <w:p w14:paraId="5C1B4B9D"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 xml:space="preserve">Number of stations to </w:t>
                            </w:r>
                            <w:proofErr w:type="gramStart"/>
                            <w:r>
                              <w:rPr>
                                <w:rFonts w:eastAsia="Calibri" w:hAnsi="Calibri" w:cs="Calibri"/>
                                <w:b/>
                                <w:bCs/>
                                <w:color w:val="000000"/>
                              </w:rPr>
                              <w:t>submit</w:t>
                            </w:r>
                            <w:proofErr w:type="gramEnd"/>
                          </w:p>
                          <w:p w14:paraId="1E30AC17" w14:textId="62409E85" w:rsidR="00FD34E9" w:rsidRDefault="00EA3512" w:rsidP="00572B97">
                            <w:pPr>
                              <w:spacing w:line="254" w:lineRule="auto"/>
                              <w:rPr>
                                <w:rFonts w:eastAsia="Calibri" w:hAnsi="Calibri" w:cs="Calibri"/>
                                <w:color w:val="000000"/>
                              </w:rPr>
                            </w:pPr>
                            <w:r>
                              <w:rPr>
                                <w:rFonts w:eastAsia="Calibri" w:hAnsi="Calibri" w:cs="Calibri"/>
                                <w:color w:val="000000"/>
                              </w:rPr>
                              <w:t xml:space="preserve">There is no magic number per country and all stations are valued additions to ROBIN!  There will be big differences in the number and density of stations that meet the criteria but also time to engage with gauging authorities.  The </w:t>
                            </w:r>
                            <w:proofErr w:type="gramStart"/>
                            <w:r>
                              <w:rPr>
                                <w:rFonts w:eastAsia="Calibri" w:hAnsi="Calibri" w:cs="Calibri"/>
                                <w:color w:val="000000"/>
                              </w:rPr>
                              <w:t>two level</w:t>
                            </w:r>
                            <w:proofErr w:type="gramEnd"/>
                            <w:r>
                              <w:rPr>
                                <w:rFonts w:eastAsia="Calibri" w:hAnsi="Calibri" w:cs="Calibri"/>
                                <w:color w:val="000000"/>
                              </w:rPr>
                              <w:t xml:space="preserve"> criteria will hopefully mean we have a more inclusive network and addresses differences in density and number of stations.</w:t>
                            </w:r>
                          </w:p>
                          <w:p w14:paraId="4C46B0F7"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Data types</w:t>
                            </w:r>
                          </w:p>
                          <w:p w14:paraId="4EFFDFED" w14:textId="0A72988A" w:rsidR="00FD34E9" w:rsidRDefault="00EA3512" w:rsidP="00572B97">
                            <w:pPr>
                              <w:spacing w:line="254" w:lineRule="auto"/>
                              <w:rPr>
                                <w:rFonts w:eastAsia="Calibri" w:hAnsi="Calibri" w:cs="Calibri"/>
                                <w:color w:val="000000"/>
                              </w:rPr>
                            </w:pPr>
                            <w:r>
                              <w:rPr>
                                <w:rFonts w:eastAsia="Calibri" w:hAnsi="Calibri" w:cs="Calibri"/>
                                <w:color w:val="000000"/>
                              </w:rPr>
                              <w:t>The primary focus of ROBIN is gauged daily mean flows.  In principle, sub-daily data is important, especially for the flooding side of the analysis, however this would be very ambitious to fit into the initial phase of the ROBIN project.  Likewise, instantaneous 15-minute data, while very useful and something to explore in the future, it doesn’t feature in this initial phase of ROBIN.</w:t>
                            </w:r>
                          </w:p>
                          <w:p w14:paraId="493E6C07" w14:textId="626FF6E7" w:rsidR="00FD34E9" w:rsidRDefault="00EA3512" w:rsidP="00572B97">
                            <w:pPr>
                              <w:spacing w:line="254" w:lineRule="auto"/>
                              <w:rPr>
                                <w:rFonts w:eastAsia="Calibri" w:hAnsi="Calibri" w:cs="Calibri"/>
                                <w:color w:val="000000"/>
                              </w:rPr>
                            </w:pPr>
                            <w:r>
                              <w:rPr>
                                <w:rFonts w:eastAsia="Calibri" w:hAnsi="Calibri" w:cs="Calibri"/>
                                <w:color w:val="000000"/>
                              </w:rPr>
                              <w:t> </w:t>
                            </w:r>
                          </w:p>
                          <w:p w14:paraId="7AC315B7" w14:textId="77777777" w:rsidR="00FD34E9" w:rsidRDefault="00EA3512" w:rsidP="00572B97">
                            <w:pPr>
                              <w:spacing w:line="254" w:lineRule="auto"/>
                              <w:rPr>
                                <w:rFonts w:eastAsia="Calibri" w:hAnsi="Calibri" w:cs="Calibri"/>
                                <w:color w:val="000000"/>
                              </w:rPr>
                            </w:pPr>
                            <w:r>
                              <w:rPr>
                                <w:rFonts w:eastAsia="Calibri" w:hAnsi="Calibri" w:cs="Calibri"/>
                                <w:color w:val="000000"/>
                              </w:rPr>
                              <w:t> </w:t>
                            </w:r>
                          </w:p>
                        </w:txbxContent>
                      </wps:txbx>
                      <wps:bodyPr spcFirstLastPara="0" wrap="square" lIns="91440" tIns="45720" rIns="91440" bIns="45720" anchor="t">
                        <a:noAutofit/>
                      </wps:bodyPr>
                    </wps:wsp>
                  </a:graphicData>
                </a:graphic>
              </wp:inline>
            </w:drawing>
          </mc:Choice>
          <mc:Fallback>
            <w:pict>
              <v:rect w14:anchorId="0898ED16" id="Rectangle 7" o:spid="_x0000_s1031" style="width:485.25pt;height:4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v0QgIAAAAFAAAOAAAAZHJzL2Uyb0RvYy54bWysVFFv2yAQfp+0/4B4X2ynSdpGcappVaZJ&#10;3Rqt6w/AGGIkDAxI7Pz7HeA42dpq0rQ8EDjuvvvu486ru76V6MCsE1qVuJjkGDFFdS3UrsTPPzYf&#10;bjBynqiaSK1YiY/M4bv1+3erzizZVDda1swiAFFu2ZkSN96bZZY52rCWuIk2TMEl17YlHo52l9WW&#10;dIDeymya54us07Y2VlPmHFjv0yVeR3zOGfWPnDvmkSwxcPNxtXGtwpqtV2S5s8Q0gg40yD+waIlQ&#10;kHSEuieeoL0VL6BaQa12mvsJ1W2mOReUxRqgmiL/o5qnhhgWawFxnBllcv8Pln47PJmtBRk645YO&#10;tqGKnts2/AM/1EexjqNYrPeIgnFRLKaL6zlGFO7m86ub/Oo2yJmdw411/jPTLQqbElt4jSgSOTw4&#10;n1xPLiGb01LUGyFlPIQOYJ+kRQcCb0coZcoXMVzu26+6TvZFDr/0imCGt07m2ckMbGIvBaTI7bck&#10;Uv0tb7UrhqIuAgE0RGZnyeLOHyULeFJ9ZxyJGkSaRsIjg5e1uIbULJnnb3KOgAGZgzgjdhLjDeyk&#10;7uAfQlkchjE4H4jZXRU0ThMBIwszcpoLqHIMism18mN8K5S2rxUn4ZGG5Mn/pFNSJwjl+6oHeaBr&#10;gmewVLo+bi1yhm4EtMoDcX5LLAwi0OlgOEvsfu6JZRjJLwq6/7aYzcI0x8Nsfj2Fg728qS5viKKN&#10;hgpT8yn9ce81F7EBz8kHmjBmsU2GT0KY48tz9Dp/uNa/AAAA//8DAFBLAwQUAAYACAAAACEAKGY4&#10;5d4AAAAFAQAADwAAAGRycy9kb3ducmV2LnhtbEyPUUvDMBSF3wX/Q7iCby5dQdvVpmMbyMD5YieI&#10;b2lzbcqam5JkW/XXG/eiLxcO53DOd8vlZAZ2Qud7SwLmswQYUmtVT52At/3TXQ7MB0lKDpZQwBd6&#10;WFbXV6UslD3TK57q0LFYQr6QAnQIY8G5bzUa6Wd2RIrep3VGhihdx5WT51huBp4myQM3sqe4oOWI&#10;G43toT4aAbvnbe6+P3i9bjK92L+814d0uxHi9mZaPQILOIW/MPziR3SoIlNjj6Q8GwTER8LlRm+R&#10;JffAGgF5ls6BVyX/T1/9AAAA//8DAFBLAQItABQABgAIAAAAIQC2gziS/gAAAOEBAAATAAAAAAAA&#10;AAAAAAAAAAAAAABbQ29udGVudF9UeXBlc10ueG1sUEsBAi0AFAAGAAgAAAAhADj9If/WAAAAlAEA&#10;AAsAAAAAAAAAAAAAAAAALwEAAF9yZWxzLy5yZWxzUEsBAi0AFAAGAAgAAAAhAE0cK/RCAgAAAAUA&#10;AA4AAAAAAAAAAAAAAAAALgIAAGRycy9lMm9Eb2MueG1sUEsBAi0AFAAGAAgAAAAhAChmOOXeAAAA&#10;BQEAAA8AAAAAAAAAAAAAAAAAnAQAAGRycy9kb3ducmV2LnhtbFBLBQYAAAAABAAEAPMAAACnBQAA&#10;AAA=&#10;" fillcolor="#9cc2e5 [1940]" strokecolor="white [3212]" strokeweight="1pt">
                <v:textbox>
                  <w:txbxContent>
                    <w:p w14:paraId="787ED5B8" w14:textId="14B6EEF0" w:rsidR="00FD34E9" w:rsidRDefault="0023373F" w:rsidP="00572B97">
                      <w:pPr>
                        <w:spacing w:line="254" w:lineRule="auto"/>
                        <w:rPr>
                          <w:rFonts w:eastAsia="Calibri" w:hAnsi="Calibri" w:cs="Calibri"/>
                          <w:i/>
                          <w:iCs/>
                          <w:color w:val="000000"/>
                        </w:rPr>
                      </w:pPr>
                      <w:r>
                        <w:rPr>
                          <w:rFonts w:eastAsia="Calibri" w:hAnsi="Calibri" w:cs="Calibri"/>
                          <w:i/>
                          <w:iCs/>
                          <w:color w:val="000000"/>
                        </w:rPr>
                        <w:t xml:space="preserve">Summary of workshop </w:t>
                      </w:r>
                      <w:r w:rsidR="00EA3512">
                        <w:rPr>
                          <w:rFonts w:eastAsia="Calibri" w:hAnsi="Calibri" w:cs="Calibri"/>
                          <w:i/>
                          <w:iCs/>
                          <w:color w:val="000000"/>
                        </w:rPr>
                        <w:t>discussion</w:t>
                      </w:r>
                    </w:p>
                    <w:p w14:paraId="34D9EB5B"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Station Inclusion</w:t>
                      </w:r>
                    </w:p>
                    <w:p w14:paraId="2726D11C" w14:textId="2BEB7C84" w:rsidR="00FD34E9" w:rsidRDefault="00EA3512" w:rsidP="00572B97">
                      <w:pPr>
                        <w:spacing w:line="254" w:lineRule="auto"/>
                        <w:rPr>
                          <w:rFonts w:eastAsia="Calibri" w:hAnsi="Calibri" w:cs="Calibri"/>
                          <w:color w:val="000000"/>
                        </w:rPr>
                      </w:pPr>
                      <w:r>
                        <w:rPr>
                          <w:rFonts w:eastAsia="Calibri" w:hAnsi="Calibri" w:cs="Calibri"/>
                          <w:color w:val="000000"/>
                        </w:rPr>
                        <w:t xml:space="preserve">Stations do not need to necessarily be operational, but </w:t>
                      </w:r>
                      <w:proofErr w:type="gramStart"/>
                      <w:r>
                        <w:rPr>
                          <w:rFonts w:eastAsia="Calibri" w:hAnsi="Calibri" w:cs="Calibri"/>
                          <w:color w:val="000000"/>
                        </w:rPr>
                        <w:t>in order to</w:t>
                      </w:r>
                      <w:proofErr w:type="gramEnd"/>
                      <w:r>
                        <w:rPr>
                          <w:rFonts w:eastAsia="Calibri" w:hAnsi="Calibri" w:cs="Calibri"/>
                          <w:color w:val="000000"/>
                        </w:rPr>
                        <w:t xml:space="preserve"> provide up-to-date relevant trends assessments</w:t>
                      </w:r>
                      <w:r w:rsidR="004D3EAB">
                        <w:rPr>
                          <w:rFonts w:eastAsia="Calibri" w:hAnsi="Calibri" w:cs="Calibri"/>
                          <w:color w:val="000000"/>
                        </w:rPr>
                        <w:t xml:space="preserve"> and for the legacy of ROBIN</w:t>
                      </w:r>
                      <w:r>
                        <w:rPr>
                          <w:rFonts w:eastAsia="Calibri" w:hAnsi="Calibri" w:cs="Calibri"/>
                          <w:color w:val="000000"/>
                        </w:rPr>
                        <w:t>, it would be preferred</w:t>
                      </w:r>
                      <w:r w:rsidR="004D3EAB">
                        <w:rPr>
                          <w:rFonts w:eastAsia="Calibri" w:hAnsi="Calibri" w:cs="Calibri"/>
                          <w:color w:val="000000"/>
                        </w:rPr>
                        <w:t xml:space="preserve"> if they were still operational</w:t>
                      </w:r>
                      <w:r>
                        <w:rPr>
                          <w:rFonts w:eastAsia="Calibri" w:hAnsi="Calibri" w:cs="Calibri"/>
                          <w:color w:val="000000"/>
                        </w:rPr>
                        <w:t>.  We discussed combined records (</w:t>
                      </w:r>
                      <w:r w:rsidR="004D3EAB">
                        <w:rPr>
                          <w:rFonts w:eastAsia="Calibri" w:hAnsi="Calibri" w:cs="Calibri"/>
                          <w:color w:val="000000"/>
                        </w:rPr>
                        <w:t xml:space="preserve">e.g. </w:t>
                      </w:r>
                      <w:r>
                        <w:rPr>
                          <w:rFonts w:eastAsia="Calibri" w:hAnsi="Calibri" w:cs="Calibri"/>
                          <w:color w:val="000000"/>
                        </w:rPr>
                        <w:t xml:space="preserve">where station have moved) and whether they could be included.  </w:t>
                      </w:r>
                      <w:r w:rsidR="004D3EAB">
                        <w:rPr>
                          <w:rFonts w:eastAsia="Calibri" w:hAnsi="Calibri" w:cs="Calibri"/>
                          <w:color w:val="000000"/>
                        </w:rPr>
                        <w:t xml:space="preserve">It was decided that </w:t>
                      </w:r>
                      <w:proofErr w:type="gramStart"/>
                      <w:r w:rsidR="004D3EAB">
                        <w:rPr>
                          <w:rFonts w:eastAsia="Calibri" w:hAnsi="Calibri" w:cs="Calibri"/>
                          <w:color w:val="000000"/>
                        </w:rPr>
                        <w:t>a</w:t>
                      </w:r>
                      <w:r>
                        <w:rPr>
                          <w:rFonts w:eastAsia="Calibri" w:hAnsi="Calibri" w:cs="Calibri"/>
                          <w:color w:val="000000"/>
                        </w:rPr>
                        <w:t>s long as</w:t>
                      </w:r>
                      <w:proofErr w:type="gramEnd"/>
                      <w:r>
                        <w:rPr>
                          <w:rFonts w:eastAsia="Calibri" w:hAnsi="Calibri" w:cs="Calibri"/>
                          <w:color w:val="000000"/>
                        </w:rPr>
                        <w:t xml:space="preserve"> there is no step change in the record (a change point analysis could be carried out) and the combined station still </w:t>
                      </w:r>
                      <w:r w:rsidR="004D3EAB">
                        <w:rPr>
                          <w:rFonts w:eastAsia="Calibri" w:hAnsi="Calibri" w:cs="Calibri"/>
                          <w:color w:val="000000"/>
                        </w:rPr>
                        <w:t>meets</w:t>
                      </w:r>
                      <w:r>
                        <w:rPr>
                          <w:rFonts w:eastAsia="Calibri" w:hAnsi="Calibri" w:cs="Calibri"/>
                          <w:color w:val="000000"/>
                        </w:rPr>
                        <w:t xml:space="preserve"> the ROBIN </w:t>
                      </w:r>
                      <w:r w:rsidR="004D3EAB">
                        <w:rPr>
                          <w:rFonts w:eastAsia="Calibri" w:hAnsi="Calibri" w:cs="Calibri"/>
                          <w:color w:val="000000"/>
                        </w:rPr>
                        <w:t>N</w:t>
                      </w:r>
                      <w:r>
                        <w:rPr>
                          <w:rFonts w:eastAsia="Calibri" w:hAnsi="Calibri" w:cs="Calibri"/>
                          <w:color w:val="000000"/>
                        </w:rPr>
                        <w:t xml:space="preserve">etwork </w:t>
                      </w:r>
                      <w:r w:rsidR="004D3EAB">
                        <w:rPr>
                          <w:rFonts w:eastAsia="Calibri" w:hAnsi="Calibri" w:cs="Calibri"/>
                          <w:color w:val="000000"/>
                        </w:rPr>
                        <w:t>C</w:t>
                      </w:r>
                      <w:r>
                        <w:rPr>
                          <w:rFonts w:eastAsia="Calibri" w:hAnsi="Calibri" w:cs="Calibri"/>
                          <w:color w:val="000000"/>
                        </w:rPr>
                        <w:t xml:space="preserve">riteria then </w:t>
                      </w:r>
                      <w:r w:rsidR="004D3EAB">
                        <w:rPr>
                          <w:rFonts w:eastAsia="Calibri" w:hAnsi="Calibri" w:cs="Calibri"/>
                          <w:color w:val="000000"/>
                        </w:rPr>
                        <w:t>combined records can be included</w:t>
                      </w:r>
                      <w:r>
                        <w:rPr>
                          <w:rFonts w:eastAsia="Calibri" w:hAnsi="Calibri" w:cs="Calibri"/>
                          <w:color w:val="000000"/>
                        </w:rPr>
                        <w:t>.</w:t>
                      </w:r>
                    </w:p>
                    <w:p w14:paraId="1730EADA"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Metadata</w:t>
                      </w:r>
                    </w:p>
                    <w:p w14:paraId="4AAE7234" w14:textId="0F3BA8A7" w:rsidR="00FD34E9" w:rsidRDefault="00EA3512" w:rsidP="00572B97">
                      <w:pPr>
                        <w:spacing w:line="254" w:lineRule="auto"/>
                        <w:rPr>
                          <w:rFonts w:eastAsia="Calibri" w:hAnsi="Calibri" w:cs="Calibri"/>
                          <w:color w:val="000000"/>
                        </w:rPr>
                      </w:pPr>
                      <w:r>
                        <w:rPr>
                          <w:rFonts w:eastAsia="Calibri" w:hAnsi="Calibri" w:cs="Calibri"/>
                          <w:color w:val="000000"/>
                        </w:rPr>
                        <w:t xml:space="preserve">In-country metadata, if available, </w:t>
                      </w:r>
                      <w:r w:rsidR="004D3EAB">
                        <w:rPr>
                          <w:rFonts w:eastAsia="Calibri" w:hAnsi="Calibri" w:cs="Calibri"/>
                          <w:color w:val="000000"/>
                        </w:rPr>
                        <w:t xml:space="preserve">will </w:t>
                      </w:r>
                      <w:r>
                        <w:rPr>
                          <w:rFonts w:eastAsia="Calibri" w:hAnsi="Calibri" w:cs="Calibri"/>
                          <w:color w:val="000000"/>
                        </w:rPr>
                        <w:t>be used as default</w:t>
                      </w:r>
                      <w:r w:rsidR="004D3EAB">
                        <w:rPr>
                          <w:rFonts w:eastAsia="Calibri" w:hAnsi="Calibri" w:cs="Calibri"/>
                          <w:color w:val="000000"/>
                        </w:rPr>
                        <w:t xml:space="preserve">. </w:t>
                      </w:r>
                      <w:proofErr w:type="gramStart"/>
                      <w:r w:rsidR="004D3EAB">
                        <w:rPr>
                          <w:rFonts w:eastAsia="Calibri" w:hAnsi="Calibri" w:cs="Calibri"/>
                          <w:color w:val="000000"/>
                        </w:rPr>
                        <w:t>H</w:t>
                      </w:r>
                      <w:r>
                        <w:rPr>
                          <w:rFonts w:eastAsia="Calibri" w:hAnsi="Calibri" w:cs="Calibri"/>
                          <w:color w:val="000000"/>
                        </w:rPr>
                        <w:t>owever</w:t>
                      </w:r>
                      <w:proofErr w:type="gramEnd"/>
                      <w:r>
                        <w:rPr>
                          <w:rFonts w:eastAsia="Calibri" w:hAnsi="Calibri" w:cs="Calibri"/>
                          <w:color w:val="000000"/>
                        </w:rPr>
                        <w:t xml:space="preserve"> </w:t>
                      </w:r>
                      <w:r w:rsidR="004D3EAB">
                        <w:rPr>
                          <w:rFonts w:eastAsia="Calibri" w:hAnsi="Calibri" w:cs="Calibri"/>
                          <w:color w:val="000000"/>
                        </w:rPr>
                        <w:t xml:space="preserve">where </w:t>
                      </w:r>
                      <w:r>
                        <w:rPr>
                          <w:rFonts w:eastAsia="Calibri" w:hAnsi="Calibri" w:cs="Calibri"/>
                          <w:color w:val="000000"/>
                        </w:rPr>
                        <w:t xml:space="preserve">metadata isn’t available we would look towards deriving from </w:t>
                      </w:r>
                      <w:r w:rsidR="004D3EAB">
                        <w:rPr>
                          <w:rFonts w:eastAsia="Calibri" w:hAnsi="Calibri" w:cs="Calibri"/>
                          <w:color w:val="000000"/>
                        </w:rPr>
                        <w:t xml:space="preserve">global </w:t>
                      </w:r>
                      <w:r>
                        <w:rPr>
                          <w:rFonts w:eastAsia="Calibri" w:hAnsi="Calibri" w:cs="Calibri"/>
                          <w:color w:val="000000"/>
                        </w:rPr>
                        <w:t xml:space="preserve">datasets such as CARAVAN, </w:t>
                      </w:r>
                      <w:hyperlink r:id="rId13" w:history="1">
                        <w:r w:rsidRPr="00EB0F1D">
                          <w:rPr>
                            <w:rStyle w:val="Hyperlink"/>
                            <w:rFonts w:eastAsia="Calibri" w:hAnsi="Calibri" w:cs="Calibri"/>
                          </w:rPr>
                          <w:t>GSIM</w:t>
                        </w:r>
                      </w:hyperlink>
                      <w:r w:rsidR="004D3EAB">
                        <w:rPr>
                          <w:rFonts w:eastAsia="Calibri" w:hAnsi="Calibri" w:cs="Calibri"/>
                          <w:color w:val="000000"/>
                        </w:rPr>
                        <w:t xml:space="preserve"> etc</w:t>
                      </w:r>
                      <w:r>
                        <w:rPr>
                          <w:rFonts w:eastAsia="Calibri" w:hAnsi="Calibri" w:cs="Calibri"/>
                          <w:color w:val="000000"/>
                        </w:rPr>
                        <w:t>. It is very important to flag where this metadata has come from.</w:t>
                      </w:r>
                    </w:p>
                    <w:p w14:paraId="216019E5" w14:textId="77777777" w:rsidR="00FD34E9" w:rsidRDefault="00EA3512" w:rsidP="00572B97">
                      <w:pPr>
                        <w:spacing w:line="254" w:lineRule="auto"/>
                        <w:rPr>
                          <w:rFonts w:eastAsia="Calibri" w:hAnsi="Calibri" w:cs="Calibri"/>
                          <w:color w:val="000000"/>
                        </w:rPr>
                      </w:pPr>
                      <w:r>
                        <w:rPr>
                          <w:rFonts w:eastAsia="Calibri" w:hAnsi="Calibri" w:cs="Calibri"/>
                          <w:color w:val="000000"/>
                        </w:rPr>
                        <w:t>Minimum requirements should include the catchment boundary and catchment area.</w:t>
                      </w:r>
                    </w:p>
                    <w:p w14:paraId="7ECE3A55"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Data Sharing</w:t>
                      </w:r>
                    </w:p>
                    <w:p w14:paraId="48A0CE68" w14:textId="6F410B8B" w:rsidR="00FD34E9" w:rsidRDefault="00EA3512" w:rsidP="00572B97">
                      <w:pPr>
                        <w:spacing w:line="254" w:lineRule="auto"/>
                        <w:rPr>
                          <w:rFonts w:eastAsia="Calibri" w:hAnsi="Calibri" w:cs="Calibri"/>
                          <w:color w:val="000000"/>
                        </w:rPr>
                      </w:pPr>
                      <w:r>
                        <w:rPr>
                          <w:rFonts w:eastAsia="Calibri" w:hAnsi="Calibri" w:cs="Calibri"/>
                          <w:color w:val="000000"/>
                        </w:rPr>
                        <w:t xml:space="preserve">If you are unable to share raw flow data with </w:t>
                      </w:r>
                      <w:r w:rsidR="004D3EAB">
                        <w:rPr>
                          <w:rFonts w:eastAsia="Calibri" w:hAnsi="Calibri" w:cs="Calibri"/>
                          <w:color w:val="000000"/>
                        </w:rPr>
                        <w:t>ROBIN</w:t>
                      </w:r>
                      <w:r>
                        <w:rPr>
                          <w:rFonts w:eastAsia="Calibri" w:hAnsi="Calibri" w:cs="Calibri"/>
                          <w:color w:val="000000"/>
                        </w:rPr>
                        <w:t xml:space="preserve">, </w:t>
                      </w:r>
                      <w:proofErr w:type="gramStart"/>
                      <w:r>
                        <w:rPr>
                          <w:rFonts w:eastAsia="Calibri" w:hAnsi="Calibri" w:cs="Calibri"/>
                          <w:color w:val="000000"/>
                        </w:rPr>
                        <w:t>later on</w:t>
                      </w:r>
                      <w:proofErr w:type="gramEnd"/>
                      <w:r>
                        <w:rPr>
                          <w:rFonts w:eastAsia="Calibri" w:hAnsi="Calibri" w:cs="Calibri"/>
                          <w:color w:val="000000"/>
                        </w:rPr>
                        <w:t xml:space="preserve"> in the process we will share scripts / codes to derive the indicators that we will be using in the analysis.  We are hopeful you will then be able to share the derived indicators with us.</w:t>
                      </w:r>
                      <w:r w:rsidR="004D3EAB">
                        <w:rPr>
                          <w:rFonts w:eastAsia="Calibri" w:hAnsi="Calibri" w:cs="Calibri"/>
                          <w:color w:val="000000"/>
                        </w:rPr>
                        <w:t xml:space="preserve"> See the Data Submission document for more information.</w:t>
                      </w:r>
                    </w:p>
                    <w:p w14:paraId="5C1B4B9D"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 xml:space="preserve">Number of stations to </w:t>
                      </w:r>
                      <w:proofErr w:type="gramStart"/>
                      <w:r>
                        <w:rPr>
                          <w:rFonts w:eastAsia="Calibri" w:hAnsi="Calibri" w:cs="Calibri"/>
                          <w:b/>
                          <w:bCs/>
                          <w:color w:val="000000"/>
                        </w:rPr>
                        <w:t>submit</w:t>
                      </w:r>
                      <w:proofErr w:type="gramEnd"/>
                    </w:p>
                    <w:p w14:paraId="1E30AC17" w14:textId="62409E85" w:rsidR="00FD34E9" w:rsidRDefault="00EA3512" w:rsidP="00572B97">
                      <w:pPr>
                        <w:spacing w:line="254" w:lineRule="auto"/>
                        <w:rPr>
                          <w:rFonts w:eastAsia="Calibri" w:hAnsi="Calibri" w:cs="Calibri"/>
                          <w:color w:val="000000"/>
                        </w:rPr>
                      </w:pPr>
                      <w:r>
                        <w:rPr>
                          <w:rFonts w:eastAsia="Calibri" w:hAnsi="Calibri" w:cs="Calibri"/>
                          <w:color w:val="000000"/>
                        </w:rPr>
                        <w:t xml:space="preserve">There is no magic number per country and all stations are valued additions to ROBIN!  There will be big differences in the number and density of stations that meet the criteria but also time to engage with gauging authorities.  The </w:t>
                      </w:r>
                      <w:proofErr w:type="gramStart"/>
                      <w:r>
                        <w:rPr>
                          <w:rFonts w:eastAsia="Calibri" w:hAnsi="Calibri" w:cs="Calibri"/>
                          <w:color w:val="000000"/>
                        </w:rPr>
                        <w:t>two level</w:t>
                      </w:r>
                      <w:proofErr w:type="gramEnd"/>
                      <w:r>
                        <w:rPr>
                          <w:rFonts w:eastAsia="Calibri" w:hAnsi="Calibri" w:cs="Calibri"/>
                          <w:color w:val="000000"/>
                        </w:rPr>
                        <w:t xml:space="preserve"> criteria will hopefully mean we have a more inclusive network and addresses differences in density and number of stations.</w:t>
                      </w:r>
                    </w:p>
                    <w:p w14:paraId="4C46B0F7" w14:textId="77777777" w:rsidR="00FD34E9" w:rsidRDefault="00EA3512" w:rsidP="00EB0F1D">
                      <w:pPr>
                        <w:spacing w:after="0" w:line="254" w:lineRule="auto"/>
                        <w:rPr>
                          <w:rFonts w:eastAsia="Calibri" w:hAnsi="Calibri" w:cs="Calibri"/>
                          <w:b/>
                          <w:bCs/>
                          <w:color w:val="000000"/>
                        </w:rPr>
                      </w:pPr>
                      <w:r>
                        <w:rPr>
                          <w:rFonts w:eastAsia="Calibri" w:hAnsi="Calibri" w:cs="Calibri"/>
                          <w:b/>
                          <w:bCs/>
                          <w:color w:val="000000"/>
                        </w:rPr>
                        <w:t>Data types</w:t>
                      </w:r>
                    </w:p>
                    <w:p w14:paraId="4EFFDFED" w14:textId="0A72988A" w:rsidR="00FD34E9" w:rsidRDefault="00EA3512" w:rsidP="00572B97">
                      <w:pPr>
                        <w:spacing w:line="254" w:lineRule="auto"/>
                        <w:rPr>
                          <w:rFonts w:eastAsia="Calibri" w:hAnsi="Calibri" w:cs="Calibri"/>
                          <w:color w:val="000000"/>
                        </w:rPr>
                      </w:pPr>
                      <w:r>
                        <w:rPr>
                          <w:rFonts w:eastAsia="Calibri" w:hAnsi="Calibri" w:cs="Calibri"/>
                          <w:color w:val="000000"/>
                        </w:rPr>
                        <w:t>The primary focus of ROBIN is gauged daily mean flows.  In principle, sub-daily data is important, especially for the flooding side of the analysis, however this would be very ambitious to fit into the initial phase of the ROBIN project.  Likewise, instantaneous 15-minute data, while very useful and something to explore in the future, it doesn’t feature in this initial phase of ROBIN.</w:t>
                      </w:r>
                    </w:p>
                    <w:p w14:paraId="493E6C07" w14:textId="626FF6E7" w:rsidR="00FD34E9" w:rsidRDefault="00EA3512" w:rsidP="00572B97">
                      <w:pPr>
                        <w:spacing w:line="254" w:lineRule="auto"/>
                        <w:rPr>
                          <w:rFonts w:eastAsia="Calibri" w:hAnsi="Calibri" w:cs="Calibri"/>
                          <w:color w:val="000000"/>
                        </w:rPr>
                      </w:pPr>
                      <w:r>
                        <w:rPr>
                          <w:rFonts w:eastAsia="Calibri" w:hAnsi="Calibri" w:cs="Calibri"/>
                          <w:color w:val="000000"/>
                        </w:rPr>
                        <w:t> </w:t>
                      </w:r>
                    </w:p>
                    <w:p w14:paraId="7AC315B7" w14:textId="77777777" w:rsidR="00FD34E9" w:rsidRDefault="00EA3512" w:rsidP="00572B97">
                      <w:pPr>
                        <w:spacing w:line="254" w:lineRule="auto"/>
                        <w:rPr>
                          <w:rFonts w:eastAsia="Calibri" w:hAnsi="Calibri" w:cs="Calibri"/>
                          <w:color w:val="000000"/>
                        </w:rPr>
                      </w:pPr>
                      <w:r>
                        <w:rPr>
                          <w:rFonts w:eastAsia="Calibri" w:hAnsi="Calibri" w:cs="Calibri"/>
                          <w:color w:val="000000"/>
                        </w:rPr>
                        <w:t> </w:t>
                      </w:r>
                    </w:p>
                  </w:txbxContent>
                </v:textbox>
                <w10:anchorlock/>
              </v:rect>
            </w:pict>
          </mc:Fallback>
        </mc:AlternateContent>
      </w:r>
    </w:p>
    <w:p w14:paraId="071E4E01" w14:textId="77777777" w:rsidR="00D567C6" w:rsidRDefault="00D567C6" w:rsidP="00EB0F1D">
      <w:pPr>
        <w:pStyle w:val="Heading1"/>
      </w:pPr>
      <w:r>
        <w:t>References</w:t>
      </w:r>
    </w:p>
    <w:p w14:paraId="5C08A7B2" w14:textId="3EB42FED" w:rsidR="00D567C6" w:rsidRPr="00D567C6" w:rsidRDefault="00D567C6" w:rsidP="00EB0F1D">
      <w:pPr>
        <w:pStyle w:val="paragraph"/>
        <w:spacing w:before="0" w:beforeAutospacing="0" w:after="0" w:afterAutospacing="0"/>
        <w:ind w:left="426" w:hanging="426"/>
        <w:jc w:val="both"/>
        <w:textAlignment w:val="baseline"/>
        <w:rPr>
          <w:rFonts w:asciiTheme="minorHAnsi" w:hAnsiTheme="minorHAnsi" w:cs="Segoe UI"/>
          <w:sz w:val="22"/>
          <w:szCs w:val="22"/>
        </w:rPr>
      </w:pPr>
      <w:r>
        <w:rPr>
          <w:rStyle w:val="eop"/>
          <w:rFonts w:ascii="Calibri" w:eastAsiaTheme="majorEastAsia" w:hAnsi="Calibri" w:cs="Segoe UI"/>
          <w:sz w:val="22"/>
          <w:szCs w:val="22"/>
        </w:rPr>
        <w:t> </w:t>
      </w:r>
      <w:r w:rsidR="4A980712" w:rsidRPr="6307F8B1">
        <w:rPr>
          <w:rStyle w:val="normaltextrun"/>
          <w:rFonts w:asciiTheme="minorHAnsi" w:hAnsiTheme="minorHAnsi" w:cs="Segoe UI"/>
          <w:sz w:val="22"/>
          <w:szCs w:val="22"/>
          <w:lang w:val="en-US"/>
        </w:rPr>
        <w:t xml:space="preserve">Burn, D. H., Hannaford, J., </w:t>
      </w:r>
      <w:proofErr w:type="spellStart"/>
      <w:r w:rsidR="4A980712" w:rsidRPr="6307F8B1">
        <w:rPr>
          <w:rStyle w:val="normaltextrun"/>
          <w:rFonts w:asciiTheme="minorHAnsi" w:hAnsiTheme="minorHAnsi" w:cs="Segoe UI"/>
          <w:sz w:val="22"/>
          <w:szCs w:val="22"/>
          <w:lang w:val="en-US"/>
        </w:rPr>
        <w:t>Hodgkins</w:t>
      </w:r>
      <w:proofErr w:type="spellEnd"/>
      <w:r w:rsidR="4A980712" w:rsidRPr="6307F8B1">
        <w:rPr>
          <w:rStyle w:val="normaltextrun"/>
          <w:rFonts w:asciiTheme="minorHAnsi" w:hAnsiTheme="minorHAnsi" w:cs="Segoe UI"/>
          <w:sz w:val="22"/>
          <w:szCs w:val="22"/>
          <w:lang w:val="en-US"/>
        </w:rPr>
        <w:t xml:space="preserve">, G. A., Whitfield, P. H., Thorne, R &amp; Marsh, T. J. (2012). Reference hydrologic networks II. Using reference hydrologic networks to assess climate-driven changes in streamflow. </w:t>
      </w:r>
      <w:r w:rsidR="4A980712" w:rsidRPr="6307F8B1">
        <w:rPr>
          <w:rStyle w:val="normaltextrun"/>
          <w:rFonts w:asciiTheme="minorHAnsi" w:hAnsiTheme="minorHAnsi" w:cs="Segoe UI"/>
          <w:i/>
          <w:iCs/>
          <w:sz w:val="22"/>
          <w:szCs w:val="22"/>
          <w:lang w:val="en-US"/>
        </w:rPr>
        <w:t>Hydrological Sciences Journal</w:t>
      </w:r>
      <w:r w:rsidR="4A980712" w:rsidRPr="6307F8B1">
        <w:rPr>
          <w:rStyle w:val="normaltextrun"/>
          <w:rFonts w:asciiTheme="minorHAnsi" w:hAnsiTheme="minorHAnsi" w:cs="Segoe UI"/>
          <w:sz w:val="22"/>
          <w:szCs w:val="22"/>
          <w:lang w:val="en-US"/>
        </w:rPr>
        <w:t>, 57(8), 1580-1593. https://doi.org/10.1080/02626667.2012.728705</w:t>
      </w:r>
      <w:r>
        <w:br/>
      </w:r>
      <w:r w:rsidRPr="6307F8B1">
        <w:rPr>
          <w:rStyle w:val="normaltextrun"/>
          <w:rFonts w:asciiTheme="minorHAnsi" w:hAnsiTheme="minorHAnsi" w:cs="Segoe UI"/>
          <w:sz w:val="22"/>
          <w:szCs w:val="22"/>
          <w:lang w:val="en-US"/>
        </w:rPr>
        <w:t xml:space="preserve">Dixon, H., Lawler, D. M., </w:t>
      </w:r>
      <w:proofErr w:type="spellStart"/>
      <w:r w:rsidRPr="6307F8B1">
        <w:rPr>
          <w:rStyle w:val="normaltextrun"/>
          <w:rFonts w:asciiTheme="minorHAnsi" w:hAnsiTheme="minorHAnsi" w:cs="Segoe UI"/>
          <w:sz w:val="22"/>
          <w:szCs w:val="22"/>
          <w:lang w:val="en-US"/>
        </w:rPr>
        <w:t>Shamseldin</w:t>
      </w:r>
      <w:proofErr w:type="spellEnd"/>
      <w:r w:rsidRPr="6307F8B1">
        <w:rPr>
          <w:rStyle w:val="normaltextrun"/>
          <w:rFonts w:asciiTheme="minorHAnsi" w:hAnsiTheme="minorHAnsi" w:cs="Segoe UI"/>
          <w:sz w:val="22"/>
          <w:szCs w:val="22"/>
          <w:lang w:val="en-US"/>
        </w:rPr>
        <w:t xml:space="preserve">, A. Y., &amp; Webster, P. (2006). The effect of record length on the analysis of river flow trends in Wales and central England. 308. </w:t>
      </w:r>
      <w:hyperlink r:id="rId14">
        <w:r w:rsidRPr="6307F8B1">
          <w:rPr>
            <w:rStyle w:val="Hyperlink"/>
            <w:rFonts w:asciiTheme="minorHAnsi" w:hAnsiTheme="minorHAnsi" w:cs="Segoe UI"/>
            <w:sz w:val="22"/>
            <w:szCs w:val="22"/>
          </w:rPr>
          <w:t>https://iahs.info/uploads/dms/13709.89-490-495-03-308-Dixon.pdf</w:t>
        </w:r>
      </w:hyperlink>
      <w:r w:rsidRPr="6307F8B1">
        <w:rPr>
          <w:rStyle w:val="contentcontrol"/>
          <w:rFonts w:asciiTheme="minorHAnsi" w:hAnsiTheme="minorHAnsi" w:cs="Segoe UI"/>
          <w:sz w:val="22"/>
          <w:szCs w:val="22"/>
        </w:rPr>
        <w:t xml:space="preserve"> </w:t>
      </w:r>
    </w:p>
    <w:p w14:paraId="7AA1EF22" w14:textId="77777777" w:rsidR="00D567C6" w:rsidRDefault="00D567C6" w:rsidP="00AA2E8D">
      <w:pPr>
        <w:pStyle w:val="paragraph"/>
        <w:spacing w:before="0" w:beforeAutospacing="0" w:after="0" w:afterAutospacing="0"/>
        <w:ind w:left="480" w:hanging="480"/>
        <w:jc w:val="both"/>
        <w:textAlignment w:val="baseline"/>
        <w:rPr>
          <w:rStyle w:val="eop"/>
          <w:rFonts w:asciiTheme="minorHAnsi" w:eastAsiaTheme="majorEastAsia" w:hAnsiTheme="minorHAnsi" w:cs="Segoe UI"/>
          <w:sz w:val="22"/>
          <w:szCs w:val="22"/>
          <w:lang w:val="en-US"/>
        </w:rPr>
      </w:pPr>
      <w:r w:rsidRPr="00D567C6">
        <w:rPr>
          <w:rStyle w:val="normaltextrun"/>
          <w:rFonts w:asciiTheme="minorHAnsi" w:hAnsiTheme="minorHAnsi" w:cs="Segoe UI"/>
          <w:sz w:val="22"/>
          <w:szCs w:val="22"/>
          <w:lang w:val="en-US"/>
        </w:rPr>
        <w:t xml:space="preserve">Hannaford, J., Buys, G., Stahl, K., &amp; </w:t>
      </w:r>
      <w:proofErr w:type="spellStart"/>
      <w:r w:rsidRPr="00D567C6">
        <w:rPr>
          <w:rStyle w:val="normaltextrun"/>
          <w:rFonts w:asciiTheme="minorHAnsi" w:hAnsiTheme="minorHAnsi" w:cs="Segoe UI"/>
          <w:sz w:val="22"/>
          <w:szCs w:val="22"/>
          <w:lang w:val="en-US"/>
        </w:rPr>
        <w:t>Tallaksen</w:t>
      </w:r>
      <w:proofErr w:type="spellEnd"/>
      <w:r w:rsidRPr="00D567C6">
        <w:rPr>
          <w:rStyle w:val="normaltextrun"/>
          <w:rFonts w:asciiTheme="minorHAnsi" w:hAnsiTheme="minorHAnsi" w:cs="Segoe UI"/>
          <w:sz w:val="22"/>
          <w:szCs w:val="22"/>
          <w:lang w:val="en-US"/>
        </w:rPr>
        <w:t xml:space="preserve">, L. M. (2013). The influence of decadal-scale variability on trends in long European streamflow records. </w:t>
      </w:r>
      <w:r w:rsidRPr="00D567C6">
        <w:rPr>
          <w:rStyle w:val="normaltextrun"/>
          <w:rFonts w:asciiTheme="minorHAnsi" w:hAnsiTheme="minorHAnsi" w:cs="Segoe UI"/>
          <w:i/>
          <w:iCs/>
          <w:sz w:val="22"/>
          <w:szCs w:val="22"/>
          <w:lang w:val="en-US"/>
        </w:rPr>
        <w:t>Hydrology and Earth System Sciences</w:t>
      </w:r>
      <w:r w:rsidRPr="00D567C6">
        <w:rPr>
          <w:rStyle w:val="normaltextrun"/>
          <w:rFonts w:asciiTheme="minorHAnsi" w:hAnsiTheme="minorHAnsi" w:cs="Segoe UI"/>
          <w:sz w:val="22"/>
          <w:szCs w:val="22"/>
          <w:lang w:val="en-US"/>
        </w:rPr>
        <w:t xml:space="preserve">, </w:t>
      </w:r>
      <w:r w:rsidRPr="00D567C6">
        <w:rPr>
          <w:rStyle w:val="normaltextrun"/>
          <w:rFonts w:asciiTheme="minorHAnsi" w:hAnsiTheme="minorHAnsi" w:cs="Segoe UI"/>
          <w:i/>
          <w:iCs/>
          <w:sz w:val="22"/>
          <w:szCs w:val="22"/>
          <w:lang w:val="en-US"/>
        </w:rPr>
        <w:t>17</w:t>
      </w:r>
      <w:r w:rsidRPr="00D567C6">
        <w:rPr>
          <w:rStyle w:val="normaltextrun"/>
          <w:rFonts w:asciiTheme="minorHAnsi" w:hAnsiTheme="minorHAnsi" w:cs="Segoe UI"/>
          <w:sz w:val="22"/>
          <w:szCs w:val="22"/>
          <w:lang w:val="en-US"/>
        </w:rPr>
        <w:t xml:space="preserve">(7), 2717–2733. </w:t>
      </w:r>
      <w:hyperlink r:id="rId15" w:tgtFrame="_blank" w:history="1">
        <w:r w:rsidRPr="00D567C6">
          <w:rPr>
            <w:rStyle w:val="normaltextrun"/>
            <w:rFonts w:asciiTheme="minorHAnsi" w:hAnsiTheme="minorHAnsi" w:cs="Segoe UI"/>
            <w:color w:val="0563C1"/>
            <w:sz w:val="22"/>
            <w:szCs w:val="22"/>
            <w:u w:val="single"/>
            <w:lang w:val="en-US"/>
          </w:rPr>
          <w:t>https://doi.org/10.5194/HESS-17-2717-2013</w:t>
        </w:r>
      </w:hyperlink>
      <w:r w:rsidRPr="00D567C6">
        <w:rPr>
          <w:rStyle w:val="eop"/>
          <w:rFonts w:asciiTheme="minorHAnsi" w:eastAsiaTheme="majorEastAsia" w:hAnsiTheme="minorHAnsi" w:cs="Segoe UI"/>
          <w:sz w:val="22"/>
          <w:szCs w:val="22"/>
          <w:lang w:val="en-US"/>
        </w:rPr>
        <w:t> </w:t>
      </w:r>
    </w:p>
    <w:p w14:paraId="5F93492B" w14:textId="77777777" w:rsidR="00D567C6" w:rsidRDefault="00D567C6" w:rsidP="00AA2E8D">
      <w:pPr>
        <w:pStyle w:val="paragraph"/>
        <w:spacing w:before="0" w:beforeAutospacing="0" w:after="0" w:afterAutospacing="0"/>
        <w:ind w:left="480" w:hanging="480"/>
        <w:jc w:val="both"/>
        <w:textAlignment w:val="baseline"/>
        <w:rPr>
          <w:rStyle w:val="eop"/>
          <w:rFonts w:ascii="Calibri" w:hAnsi="Calibri"/>
          <w:color w:val="000000"/>
          <w:sz w:val="22"/>
          <w:szCs w:val="22"/>
          <w:shd w:val="clear" w:color="auto" w:fill="FFFFFF"/>
        </w:rPr>
      </w:pPr>
      <w:r>
        <w:rPr>
          <w:rStyle w:val="normaltextrun"/>
          <w:rFonts w:ascii="Calibri" w:hAnsi="Calibri" w:cs="Segoe UI"/>
          <w:color w:val="000000"/>
          <w:sz w:val="22"/>
          <w:szCs w:val="22"/>
          <w:shd w:val="clear" w:color="auto" w:fill="FFFFFF"/>
          <w:lang w:val="en-US"/>
        </w:rPr>
        <w:t xml:space="preserve">Harrigan, S., Hannaford, J., </w:t>
      </w:r>
      <w:proofErr w:type="spellStart"/>
      <w:r>
        <w:rPr>
          <w:rStyle w:val="normaltextrun"/>
          <w:rFonts w:ascii="Calibri" w:hAnsi="Calibri" w:cs="Segoe UI"/>
          <w:color w:val="000000"/>
          <w:sz w:val="22"/>
          <w:szCs w:val="22"/>
          <w:shd w:val="clear" w:color="auto" w:fill="FFFFFF"/>
          <w:lang w:val="en-US"/>
        </w:rPr>
        <w:t>Muchan</w:t>
      </w:r>
      <w:proofErr w:type="spellEnd"/>
      <w:r>
        <w:rPr>
          <w:rStyle w:val="normaltextrun"/>
          <w:rFonts w:ascii="Calibri" w:hAnsi="Calibri" w:cs="Segoe UI"/>
          <w:color w:val="000000"/>
          <w:sz w:val="22"/>
          <w:szCs w:val="22"/>
          <w:shd w:val="clear" w:color="auto" w:fill="FFFFFF"/>
          <w:lang w:val="en-US"/>
        </w:rPr>
        <w:t xml:space="preserve">, K., &amp; Marsh, T. J. (2018). Designation and trend analysis of the updated UK Benchmark Network of river flow stations: The UKBN2 dataset. </w:t>
      </w:r>
      <w:r>
        <w:rPr>
          <w:rStyle w:val="normaltextrun"/>
          <w:rFonts w:ascii="Calibri" w:hAnsi="Calibri" w:cs="Segoe UI"/>
          <w:i/>
          <w:iCs/>
          <w:color w:val="000000"/>
          <w:sz w:val="22"/>
          <w:szCs w:val="22"/>
          <w:shd w:val="clear" w:color="auto" w:fill="FFFFFF"/>
          <w:lang w:val="en-US"/>
        </w:rPr>
        <w:t>Hydrology Research</w:t>
      </w:r>
      <w:r>
        <w:rPr>
          <w:rStyle w:val="normaltextrun"/>
          <w:rFonts w:ascii="Calibri" w:hAnsi="Calibri" w:cs="Segoe UI"/>
          <w:color w:val="000000"/>
          <w:sz w:val="22"/>
          <w:szCs w:val="22"/>
          <w:shd w:val="clear" w:color="auto" w:fill="FFFFFF"/>
          <w:lang w:val="en-US"/>
        </w:rPr>
        <w:t xml:space="preserve">, </w:t>
      </w:r>
      <w:r>
        <w:rPr>
          <w:rStyle w:val="normaltextrun"/>
          <w:rFonts w:ascii="Calibri" w:hAnsi="Calibri" w:cs="Segoe UI"/>
          <w:i/>
          <w:iCs/>
          <w:color w:val="000000"/>
          <w:sz w:val="22"/>
          <w:szCs w:val="22"/>
          <w:shd w:val="clear" w:color="auto" w:fill="FFFFFF"/>
          <w:lang w:val="en-US"/>
        </w:rPr>
        <w:t>49</w:t>
      </w:r>
      <w:r>
        <w:rPr>
          <w:rStyle w:val="normaltextrun"/>
          <w:rFonts w:ascii="Calibri" w:hAnsi="Calibri" w:cs="Segoe UI"/>
          <w:color w:val="000000"/>
          <w:sz w:val="22"/>
          <w:szCs w:val="22"/>
          <w:shd w:val="clear" w:color="auto" w:fill="FFFFFF"/>
          <w:lang w:val="en-US"/>
        </w:rPr>
        <w:t xml:space="preserve">(2), 552–567. </w:t>
      </w:r>
      <w:hyperlink r:id="rId16" w:tgtFrame="_blank" w:history="1">
        <w:r>
          <w:rPr>
            <w:rStyle w:val="normaltextrun"/>
            <w:rFonts w:ascii="Calibri" w:hAnsi="Calibri" w:cs="Segoe UI"/>
            <w:color w:val="0563C1"/>
            <w:sz w:val="22"/>
            <w:szCs w:val="22"/>
            <w:u w:val="single"/>
            <w:shd w:val="clear" w:color="auto" w:fill="FFFFFF"/>
            <w:lang w:val="en-US"/>
          </w:rPr>
          <w:t>https://doi.org/10.2166/nh.2017.058</w:t>
        </w:r>
      </w:hyperlink>
      <w:r>
        <w:rPr>
          <w:rStyle w:val="eop"/>
          <w:rFonts w:ascii="Calibri" w:hAnsi="Calibri"/>
          <w:color w:val="000000"/>
          <w:sz w:val="22"/>
          <w:szCs w:val="22"/>
          <w:shd w:val="clear" w:color="auto" w:fill="FFFFFF"/>
        </w:rPr>
        <w:t> </w:t>
      </w:r>
    </w:p>
    <w:p w14:paraId="512379AF" w14:textId="77777777" w:rsidR="00D567C6" w:rsidRPr="00D567C6" w:rsidRDefault="00D567C6" w:rsidP="00AA2E8D">
      <w:pPr>
        <w:pStyle w:val="paragraph"/>
        <w:spacing w:before="0" w:beforeAutospacing="0" w:after="0" w:afterAutospacing="0"/>
        <w:ind w:left="480" w:hanging="480"/>
        <w:jc w:val="both"/>
        <w:textAlignment w:val="baseline"/>
        <w:rPr>
          <w:rFonts w:asciiTheme="minorHAnsi" w:hAnsiTheme="minorHAnsi" w:cs="Segoe UI"/>
          <w:sz w:val="22"/>
          <w:szCs w:val="22"/>
          <w:lang w:val="en-US"/>
        </w:rPr>
      </w:pPr>
      <w:proofErr w:type="spellStart"/>
      <w:r>
        <w:rPr>
          <w:rStyle w:val="eop"/>
          <w:rFonts w:asciiTheme="minorHAnsi" w:eastAsiaTheme="majorEastAsia" w:hAnsiTheme="minorHAnsi" w:cs="Segoe UI"/>
          <w:sz w:val="22"/>
          <w:szCs w:val="22"/>
          <w:lang w:val="en-US"/>
        </w:rPr>
        <w:t>Hodgkins</w:t>
      </w:r>
      <w:proofErr w:type="spellEnd"/>
      <w:r>
        <w:rPr>
          <w:rStyle w:val="eop"/>
          <w:rFonts w:asciiTheme="minorHAnsi" w:eastAsiaTheme="majorEastAsia" w:hAnsiTheme="minorHAnsi" w:cs="Segoe UI"/>
          <w:sz w:val="22"/>
          <w:szCs w:val="22"/>
          <w:lang w:val="en-US"/>
        </w:rPr>
        <w:t xml:space="preserve">, G., et al. (In prep). </w:t>
      </w:r>
      <w:r w:rsidRPr="00D567C6">
        <w:rPr>
          <w:rStyle w:val="eop"/>
          <w:rFonts w:asciiTheme="minorHAnsi" w:eastAsiaTheme="majorEastAsia" w:hAnsiTheme="minorHAnsi" w:cs="Segoe UI"/>
          <w:sz w:val="22"/>
          <w:szCs w:val="22"/>
          <w:lang w:val="en-US"/>
        </w:rPr>
        <w:t>Climate driven trends and variability in extreme low flows on four continents</w:t>
      </w:r>
      <w:r>
        <w:rPr>
          <w:rStyle w:val="eop"/>
          <w:rFonts w:asciiTheme="minorHAnsi" w:eastAsiaTheme="majorEastAsia" w:hAnsiTheme="minorHAnsi" w:cs="Segoe UI"/>
          <w:sz w:val="22"/>
          <w:szCs w:val="22"/>
          <w:lang w:val="en-US"/>
        </w:rPr>
        <w:t>.</w:t>
      </w:r>
    </w:p>
    <w:p w14:paraId="3B73BE0A" w14:textId="77777777" w:rsidR="00D567C6" w:rsidRPr="00D567C6" w:rsidRDefault="00D567C6" w:rsidP="00AA2E8D">
      <w:pPr>
        <w:pStyle w:val="paragraph"/>
        <w:spacing w:before="0" w:beforeAutospacing="0" w:after="0" w:afterAutospacing="0"/>
        <w:ind w:left="480" w:hanging="480"/>
        <w:jc w:val="both"/>
        <w:textAlignment w:val="baseline"/>
        <w:rPr>
          <w:rFonts w:asciiTheme="minorHAnsi" w:hAnsiTheme="minorHAnsi" w:cs="Segoe UI"/>
          <w:sz w:val="22"/>
          <w:szCs w:val="22"/>
          <w:lang w:val="en-US"/>
        </w:rPr>
      </w:pPr>
      <w:r w:rsidRPr="00D567C6">
        <w:rPr>
          <w:rStyle w:val="normaltextrun"/>
          <w:rFonts w:asciiTheme="minorHAnsi" w:hAnsiTheme="minorHAnsi" w:cs="Segoe UI"/>
          <w:sz w:val="22"/>
          <w:szCs w:val="22"/>
          <w:lang w:val="en-US"/>
        </w:rPr>
        <w:lastRenderedPageBreak/>
        <w:t xml:space="preserve">Stahl, K., </w:t>
      </w:r>
      <w:proofErr w:type="spellStart"/>
      <w:r w:rsidRPr="00D567C6">
        <w:rPr>
          <w:rStyle w:val="normaltextrun"/>
          <w:rFonts w:asciiTheme="minorHAnsi" w:hAnsiTheme="minorHAnsi" w:cs="Segoe UI"/>
          <w:sz w:val="22"/>
          <w:szCs w:val="22"/>
          <w:lang w:val="en-US"/>
        </w:rPr>
        <w:t>Hisdal</w:t>
      </w:r>
      <w:proofErr w:type="spellEnd"/>
      <w:r w:rsidRPr="00D567C6">
        <w:rPr>
          <w:rStyle w:val="normaltextrun"/>
          <w:rFonts w:asciiTheme="minorHAnsi" w:hAnsiTheme="minorHAnsi" w:cs="Segoe UI"/>
          <w:sz w:val="22"/>
          <w:szCs w:val="22"/>
          <w:lang w:val="en-US"/>
        </w:rPr>
        <w:t xml:space="preserve">, H., Hannaford, J., </w:t>
      </w:r>
      <w:proofErr w:type="spellStart"/>
      <w:r w:rsidRPr="00D567C6">
        <w:rPr>
          <w:rStyle w:val="normaltextrun"/>
          <w:rFonts w:asciiTheme="minorHAnsi" w:hAnsiTheme="minorHAnsi" w:cs="Segoe UI"/>
          <w:sz w:val="22"/>
          <w:szCs w:val="22"/>
          <w:lang w:val="en-US"/>
        </w:rPr>
        <w:t>Tallaksen</w:t>
      </w:r>
      <w:proofErr w:type="spellEnd"/>
      <w:r w:rsidRPr="00D567C6">
        <w:rPr>
          <w:rStyle w:val="normaltextrun"/>
          <w:rFonts w:asciiTheme="minorHAnsi" w:hAnsiTheme="minorHAnsi" w:cs="Segoe UI"/>
          <w:sz w:val="22"/>
          <w:szCs w:val="22"/>
          <w:lang w:val="en-US"/>
        </w:rPr>
        <w:t xml:space="preserve">, L. M., van </w:t>
      </w:r>
      <w:proofErr w:type="spellStart"/>
      <w:r w:rsidRPr="00D567C6">
        <w:rPr>
          <w:rStyle w:val="normaltextrun"/>
          <w:rFonts w:asciiTheme="minorHAnsi" w:hAnsiTheme="minorHAnsi" w:cs="Segoe UI"/>
          <w:sz w:val="22"/>
          <w:szCs w:val="22"/>
          <w:lang w:val="en-US"/>
        </w:rPr>
        <w:t>Lanen</w:t>
      </w:r>
      <w:proofErr w:type="spellEnd"/>
      <w:r w:rsidRPr="00D567C6">
        <w:rPr>
          <w:rStyle w:val="normaltextrun"/>
          <w:rFonts w:asciiTheme="minorHAnsi" w:hAnsiTheme="minorHAnsi" w:cs="Segoe UI"/>
          <w:sz w:val="22"/>
          <w:szCs w:val="22"/>
          <w:lang w:val="en-US"/>
        </w:rPr>
        <w:t xml:space="preserve">, H. A. J., </w:t>
      </w:r>
      <w:proofErr w:type="spellStart"/>
      <w:r w:rsidRPr="00D567C6">
        <w:rPr>
          <w:rStyle w:val="normaltextrun"/>
          <w:rFonts w:asciiTheme="minorHAnsi" w:hAnsiTheme="minorHAnsi" w:cs="Segoe UI"/>
          <w:sz w:val="22"/>
          <w:szCs w:val="22"/>
          <w:lang w:val="en-US"/>
        </w:rPr>
        <w:t>Sauquet</w:t>
      </w:r>
      <w:proofErr w:type="spellEnd"/>
      <w:r w:rsidRPr="00D567C6">
        <w:rPr>
          <w:rStyle w:val="normaltextrun"/>
          <w:rFonts w:asciiTheme="minorHAnsi" w:hAnsiTheme="minorHAnsi" w:cs="Segoe UI"/>
          <w:sz w:val="22"/>
          <w:szCs w:val="22"/>
          <w:lang w:val="en-US"/>
        </w:rPr>
        <w:t xml:space="preserve">, E., Demuth, S., </w:t>
      </w:r>
      <w:proofErr w:type="spellStart"/>
      <w:r w:rsidRPr="00D567C6">
        <w:rPr>
          <w:rStyle w:val="normaltextrun"/>
          <w:rFonts w:asciiTheme="minorHAnsi" w:hAnsiTheme="minorHAnsi" w:cs="Segoe UI"/>
          <w:sz w:val="22"/>
          <w:szCs w:val="22"/>
          <w:lang w:val="en-US"/>
        </w:rPr>
        <w:t>Fendekova</w:t>
      </w:r>
      <w:proofErr w:type="spellEnd"/>
      <w:r w:rsidRPr="00D567C6">
        <w:rPr>
          <w:rStyle w:val="normaltextrun"/>
          <w:rFonts w:asciiTheme="minorHAnsi" w:hAnsiTheme="minorHAnsi" w:cs="Segoe UI"/>
          <w:sz w:val="22"/>
          <w:szCs w:val="22"/>
          <w:lang w:val="en-US"/>
        </w:rPr>
        <w:t xml:space="preserve">, M., &amp; </w:t>
      </w:r>
      <w:proofErr w:type="spellStart"/>
      <w:r w:rsidRPr="00D567C6">
        <w:rPr>
          <w:rStyle w:val="normaltextrun"/>
          <w:rFonts w:asciiTheme="minorHAnsi" w:hAnsiTheme="minorHAnsi" w:cs="Segoe UI"/>
          <w:sz w:val="22"/>
          <w:szCs w:val="22"/>
          <w:lang w:val="en-US"/>
        </w:rPr>
        <w:t>J́odar</w:t>
      </w:r>
      <w:proofErr w:type="spellEnd"/>
      <w:r w:rsidRPr="00D567C6">
        <w:rPr>
          <w:rStyle w:val="normaltextrun"/>
          <w:rFonts w:asciiTheme="minorHAnsi" w:hAnsiTheme="minorHAnsi" w:cs="Segoe UI"/>
          <w:sz w:val="22"/>
          <w:szCs w:val="22"/>
          <w:lang w:val="en-US"/>
        </w:rPr>
        <w:t xml:space="preserve">, J. (2010). Streamflow trends in Europe: Evidence from a dataset of near-natural catchments. </w:t>
      </w:r>
      <w:r w:rsidRPr="00D567C6">
        <w:rPr>
          <w:rStyle w:val="normaltextrun"/>
          <w:rFonts w:asciiTheme="minorHAnsi" w:hAnsiTheme="minorHAnsi" w:cs="Segoe UI"/>
          <w:i/>
          <w:iCs/>
          <w:sz w:val="22"/>
          <w:szCs w:val="22"/>
          <w:lang w:val="en-US"/>
        </w:rPr>
        <w:t>Hydrology and Earth System Sciences</w:t>
      </w:r>
      <w:r w:rsidRPr="00D567C6">
        <w:rPr>
          <w:rStyle w:val="normaltextrun"/>
          <w:rFonts w:asciiTheme="minorHAnsi" w:hAnsiTheme="minorHAnsi" w:cs="Segoe UI"/>
          <w:sz w:val="22"/>
          <w:szCs w:val="22"/>
          <w:lang w:val="en-US"/>
        </w:rPr>
        <w:t xml:space="preserve">, </w:t>
      </w:r>
      <w:r w:rsidRPr="00D567C6">
        <w:rPr>
          <w:rStyle w:val="normaltextrun"/>
          <w:rFonts w:asciiTheme="minorHAnsi" w:hAnsiTheme="minorHAnsi" w:cs="Segoe UI"/>
          <w:i/>
          <w:iCs/>
          <w:sz w:val="22"/>
          <w:szCs w:val="22"/>
          <w:lang w:val="en-US"/>
        </w:rPr>
        <w:t>14</w:t>
      </w:r>
      <w:r w:rsidRPr="00D567C6">
        <w:rPr>
          <w:rStyle w:val="normaltextrun"/>
          <w:rFonts w:asciiTheme="minorHAnsi" w:hAnsiTheme="minorHAnsi" w:cs="Segoe UI"/>
          <w:sz w:val="22"/>
          <w:szCs w:val="22"/>
          <w:lang w:val="en-US"/>
        </w:rPr>
        <w:t xml:space="preserve">(12), 2367–2382. </w:t>
      </w:r>
      <w:hyperlink r:id="rId17" w:tgtFrame="_blank" w:history="1">
        <w:r w:rsidRPr="00D567C6">
          <w:rPr>
            <w:rStyle w:val="normaltextrun"/>
            <w:rFonts w:asciiTheme="minorHAnsi" w:hAnsiTheme="minorHAnsi" w:cs="Segoe UI"/>
            <w:color w:val="0563C1"/>
            <w:sz w:val="22"/>
            <w:szCs w:val="22"/>
            <w:u w:val="single"/>
            <w:lang w:val="en-US"/>
          </w:rPr>
          <w:t>https://doi.org/10.5194/HESS-14-2367-2010</w:t>
        </w:r>
      </w:hyperlink>
      <w:r w:rsidRPr="00D567C6">
        <w:rPr>
          <w:rStyle w:val="eop"/>
          <w:rFonts w:asciiTheme="minorHAnsi" w:eastAsiaTheme="majorEastAsia" w:hAnsiTheme="minorHAnsi" w:cs="Segoe UI"/>
          <w:sz w:val="22"/>
          <w:szCs w:val="22"/>
          <w:lang w:val="en-US"/>
        </w:rPr>
        <w:t> </w:t>
      </w:r>
    </w:p>
    <w:p w14:paraId="0766CB24" w14:textId="38D62C62" w:rsidR="00D567C6" w:rsidRPr="00D567C6" w:rsidRDefault="00D567C6" w:rsidP="00AA2E8D">
      <w:pPr>
        <w:pStyle w:val="paragraph"/>
        <w:spacing w:before="0" w:beforeAutospacing="0" w:after="0" w:afterAutospacing="0"/>
        <w:ind w:left="480" w:hanging="480"/>
        <w:jc w:val="both"/>
        <w:textAlignment w:val="baseline"/>
        <w:rPr>
          <w:rStyle w:val="normaltextrun"/>
          <w:rFonts w:asciiTheme="minorHAnsi" w:hAnsiTheme="minorHAnsi" w:cs="Segoe UI"/>
          <w:sz w:val="22"/>
          <w:szCs w:val="22"/>
          <w:lang w:val="en-US"/>
        </w:rPr>
      </w:pPr>
      <w:r w:rsidRPr="4A980712">
        <w:rPr>
          <w:rStyle w:val="normaltextrun"/>
          <w:rFonts w:asciiTheme="minorHAnsi" w:hAnsiTheme="minorHAnsi" w:cs="Segoe UI"/>
          <w:sz w:val="22"/>
          <w:szCs w:val="22"/>
          <w:lang w:val="en-US"/>
        </w:rPr>
        <w:t xml:space="preserve">Whitfield, P. H., Burn, D. H., Hannaford, J., Higgins, H., </w:t>
      </w:r>
      <w:proofErr w:type="spellStart"/>
      <w:r w:rsidRPr="4A980712">
        <w:rPr>
          <w:rStyle w:val="normaltextrun"/>
          <w:rFonts w:asciiTheme="minorHAnsi" w:hAnsiTheme="minorHAnsi" w:cs="Segoe UI"/>
          <w:sz w:val="22"/>
          <w:szCs w:val="22"/>
          <w:lang w:val="en-US"/>
        </w:rPr>
        <w:t>Hodgkins</w:t>
      </w:r>
      <w:proofErr w:type="spellEnd"/>
      <w:r w:rsidRPr="4A980712">
        <w:rPr>
          <w:rStyle w:val="normaltextrun"/>
          <w:rFonts w:asciiTheme="minorHAnsi" w:hAnsiTheme="minorHAnsi" w:cs="Segoe UI"/>
          <w:sz w:val="22"/>
          <w:szCs w:val="22"/>
          <w:lang w:val="en-US"/>
        </w:rPr>
        <w:t xml:space="preserve">, G. A., Marsh, T., &amp; Looser, U. (2012). Reference hydrologic networks I. The status and potential future directions of national reference hydrologic networks for detecting trends. </w:t>
      </w:r>
      <w:r w:rsidR="4A980712" w:rsidRPr="6307F8B1">
        <w:rPr>
          <w:rStyle w:val="normaltextrun"/>
          <w:rFonts w:asciiTheme="minorHAnsi" w:hAnsiTheme="minorHAnsi" w:cs="Segoe UI"/>
          <w:i/>
          <w:iCs/>
          <w:sz w:val="22"/>
          <w:szCs w:val="22"/>
          <w:lang w:val="en-US"/>
        </w:rPr>
        <w:t xml:space="preserve">Hydrological Sciences Journal, </w:t>
      </w:r>
      <w:r w:rsidRPr="6307F8B1">
        <w:rPr>
          <w:rStyle w:val="normaltextrun"/>
          <w:rFonts w:asciiTheme="minorHAnsi" w:hAnsiTheme="minorHAnsi" w:cs="Segoe UI"/>
          <w:i/>
          <w:iCs/>
          <w:sz w:val="22"/>
          <w:szCs w:val="22"/>
          <w:lang w:val="en-US"/>
        </w:rPr>
        <w:t>57</w:t>
      </w:r>
      <w:r w:rsidRPr="6307F8B1">
        <w:rPr>
          <w:rStyle w:val="normaltextrun"/>
          <w:rFonts w:asciiTheme="minorHAnsi" w:hAnsiTheme="minorHAnsi" w:cs="Segoe UI"/>
          <w:sz w:val="22"/>
          <w:szCs w:val="22"/>
          <w:lang w:val="en-US"/>
        </w:rPr>
        <w:t>(8), 1562–1579</w:t>
      </w:r>
      <w:r w:rsidRPr="4A980712">
        <w:rPr>
          <w:rStyle w:val="normaltextrun"/>
          <w:rFonts w:asciiTheme="minorHAnsi" w:hAnsiTheme="minorHAnsi" w:cs="Segoe UI"/>
          <w:sz w:val="22"/>
          <w:szCs w:val="22"/>
          <w:lang w:val="en-US"/>
        </w:rPr>
        <w:t>.</w:t>
      </w:r>
      <w:r w:rsidR="4A980712" w:rsidRPr="6307F8B1">
        <w:rPr>
          <w:rStyle w:val="normaltextrun"/>
          <w:rFonts w:asciiTheme="minorHAnsi" w:hAnsiTheme="minorHAnsi" w:cs="Segoe UI"/>
          <w:i/>
          <w:iCs/>
          <w:sz w:val="22"/>
          <w:szCs w:val="22"/>
          <w:lang w:val="en-US"/>
        </w:rPr>
        <w:t xml:space="preserve"> </w:t>
      </w:r>
      <w:r w:rsidRPr="4A980712">
        <w:rPr>
          <w:rStyle w:val="normaltextrun"/>
          <w:rFonts w:asciiTheme="minorHAnsi" w:hAnsiTheme="minorHAnsi" w:cs="Segoe UI"/>
          <w:sz w:val="22"/>
          <w:szCs w:val="22"/>
          <w:lang w:val="en-US"/>
        </w:rPr>
        <w:t xml:space="preserve"> </w:t>
      </w:r>
      <w:r w:rsidR="4A980712" w:rsidRPr="4A980712">
        <w:rPr>
          <w:rStyle w:val="normaltextrun"/>
          <w:rFonts w:asciiTheme="minorHAnsi" w:hAnsiTheme="minorHAnsi" w:cs="Segoe UI"/>
          <w:sz w:val="22"/>
          <w:szCs w:val="22"/>
          <w:lang w:val="en-US"/>
        </w:rPr>
        <w:t xml:space="preserve">https://doi.org/10.1080/02626667.2012.728706 </w:t>
      </w:r>
    </w:p>
    <w:p w14:paraId="4F6584BE" w14:textId="77777777" w:rsidR="00D567C6" w:rsidRPr="00D567C6" w:rsidRDefault="00D567C6" w:rsidP="00AA2E8D">
      <w:pPr>
        <w:pStyle w:val="paragraph"/>
        <w:spacing w:before="0" w:beforeAutospacing="0" w:after="0" w:afterAutospacing="0"/>
        <w:jc w:val="both"/>
        <w:textAlignment w:val="baseline"/>
        <w:rPr>
          <w:rFonts w:asciiTheme="minorHAnsi" w:hAnsiTheme="minorHAnsi" w:cs="Segoe UI"/>
          <w:sz w:val="22"/>
          <w:szCs w:val="22"/>
          <w:lang w:val="en-US"/>
        </w:rPr>
      </w:pPr>
      <w:r w:rsidRPr="00D567C6">
        <w:rPr>
          <w:rStyle w:val="eop"/>
          <w:rFonts w:asciiTheme="minorHAnsi" w:eastAsiaTheme="majorEastAsia" w:hAnsiTheme="minorHAnsi" w:cs="Segoe UI"/>
          <w:sz w:val="22"/>
          <w:szCs w:val="22"/>
          <w:lang w:val="en-US"/>
        </w:rPr>
        <w:t> </w:t>
      </w:r>
    </w:p>
    <w:p w14:paraId="41C8F396" w14:textId="77777777" w:rsidR="00D567C6" w:rsidRPr="00D567C6" w:rsidRDefault="00D567C6" w:rsidP="00AA2E8D">
      <w:pPr>
        <w:jc w:val="both"/>
      </w:pPr>
    </w:p>
    <w:sectPr w:rsidR="00D567C6" w:rsidRPr="00D567C6" w:rsidSect="00AA2E8D">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12E2" w14:textId="77777777" w:rsidR="008C14D5" w:rsidRDefault="00EC0374">
      <w:pPr>
        <w:spacing w:after="0" w:line="240" w:lineRule="auto"/>
      </w:pPr>
      <w:r>
        <w:separator/>
      </w:r>
    </w:p>
  </w:endnote>
  <w:endnote w:type="continuationSeparator" w:id="0">
    <w:p w14:paraId="3578DB0A" w14:textId="77777777" w:rsidR="008C14D5" w:rsidRDefault="00EC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47912"/>
      <w:docPartObj>
        <w:docPartGallery w:val="Page Numbers (Bottom of Page)"/>
        <w:docPartUnique/>
      </w:docPartObj>
    </w:sdtPr>
    <w:sdtEndPr>
      <w:rPr>
        <w:noProof/>
      </w:rPr>
    </w:sdtEndPr>
    <w:sdtContent>
      <w:p w14:paraId="4490FC67" w14:textId="24DD6786" w:rsidR="00EA3512" w:rsidRDefault="00EA3512">
        <w:pPr>
          <w:pStyle w:val="Footer"/>
          <w:jc w:val="right"/>
        </w:pPr>
        <w:r>
          <w:fldChar w:fldCharType="begin"/>
        </w:r>
        <w:r>
          <w:instrText xml:space="preserve"> PAGE   \* MERGEFORMAT </w:instrText>
        </w:r>
        <w:r>
          <w:fldChar w:fldCharType="separate"/>
        </w:r>
        <w:r w:rsidR="00CF7736">
          <w:rPr>
            <w:noProof/>
          </w:rPr>
          <w:t>5</w:t>
        </w:r>
        <w:r>
          <w:rPr>
            <w:noProof/>
          </w:rPr>
          <w:fldChar w:fldCharType="end"/>
        </w:r>
      </w:p>
    </w:sdtContent>
  </w:sdt>
  <w:p w14:paraId="2BDD60BE" w14:textId="787EEC43" w:rsidR="5FCB16DB" w:rsidRDefault="5FCB16DB" w:rsidP="5FCB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C2AD" w14:textId="77777777" w:rsidR="008C14D5" w:rsidRDefault="00EC0374">
      <w:pPr>
        <w:spacing w:after="0" w:line="240" w:lineRule="auto"/>
      </w:pPr>
      <w:r>
        <w:separator/>
      </w:r>
    </w:p>
  </w:footnote>
  <w:footnote w:type="continuationSeparator" w:id="0">
    <w:p w14:paraId="34924ABA" w14:textId="77777777" w:rsidR="008C14D5" w:rsidRDefault="00EC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CB16DB" w14:paraId="41BAA5C5" w14:textId="77777777" w:rsidTr="5FCB16DB">
      <w:tc>
        <w:tcPr>
          <w:tcW w:w="3005" w:type="dxa"/>
        </w:tcPr>
        <w:p w14:paraId="1BC4998D" w14:textId="643BBA7C" w:rsidR="5FCB16DB" w:rsidRDefault="5FCB16DB" w:rsidP="5FCB16DB">
          <w:pPr>
            <w:pStyle w:val="Header"/>
            <w:ind w:left="-115"/>
          </w:pPr>
        </w:p>
      </w:tc>
      <w:tc>
        <w:tcPr>
          <w:tcW w:w="3005" w:type="dxa"/>
        </w:tcPr>
        <w:p w14:paraId="6C6AE382" w14:textId="46A97FC8" w:rsidR="5FCB16DB" w:rsidRDefault="5FCB16DB" w:rsidP="5FCB16DB">
          <w:pPr>
            <w:pStyle w:val="Header"/>
            <w:jc w:val="center"/>
          </w:pPr>
        </w:p>
      </w:tc>
      <w:tc>
        <w:tcPr>
          <w:tcW w:w="3005" w:type="dxa"/>
        </w:tcPr>
        <w:p w14:paraId="0996D5CF" w14:textId="544861EC" w:rsidR="5FCB16DB" w:rsidRDefault="5FCB16DB" w:rsidP="5FCB16DB">
          <w:pPr>
            <w:pStyle w:val="Header"/>
            <w:ind w:right="-115"/>
            <w:jc w:val="right"/>
          </w:pPr>
        </w:p>
      </w:tc>
    </w:tr>
  </w:tbl>
  <w:p w14:paraId="66D95060" w14:textId="2956C39B" w:rsidR="5FCB16DB" w:rsidRDefault="5FCB16DB" w:rsidP="5FCB16DB">
    <w:pPr>
      <w:pStyle w:val="Header"/>
    </w:pPr>
  </w:p>
</w:hdr>
</file>

<file path=word/intelligence2.xml><?xml version="1.0" encoding="utf-8"?>
<int2:intelligence xmlns:int2="http://schemas.microsoft.com/office/intelligence/2020/intelligence" xmlns:oel="http://schemas.microsoft.com/office/2019/extlst">
  <int2:observations>
    <int2:textHash int2:hashCode="kO15cCOHouD5zU" int2:id="JicJweGY">
      <int2:state int2:value="Rejected" int2:type="LegacyProofing"/>
    </int2:textHash>
    <int2:textHash int2:hashCode="hGmZg8XpGxj9st" int2:id="48gRP1J0">
      <int2:state int2:value="Rejected" int2:type="LegacyProofing"/>
    </int2:textHash>
    <int2:textHash int2:hashCode="0DifqI1F2x1nL7" int2:id="lKIOnKpH">
      <int2:state int2:value="Rejected" int2:type="LegacyProofing"/>
    </int2:textHash>
    <int2:textHash int2:hashCode="PjFWDVoQQugavI" int2:id="za1KlH5J">
      <int2:state int2:value="Rejected" int2:type="LegacyProofing"/>
    </int2:textHash>
    <int2:textHash int2:hashCode="0swFTPrKlVkaSr" int2:id="Llnqrkw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1D6B"/>
    <w:multiLevelType w:val="hybridMultilevel"/>
    <w:tmpl w:val="84D8C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A570E"/>
    <w:multiLevelType w:val="hybridMultilevel"/>
    <w:tmpl w:val="1924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517990">
    <w:abstractNumId w:val="1"/>
  </w:num>
  <w:num w:numId="2" w16cid:durableId="33353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C6"/>
    <w:rsid w:val="00006675"/>
    <w:rsid w:val="00031B7D"/>
    <w:rsid w:val="00046043"/>
    <w:rsid w:val="000E3181"/>
    <w:rsid w:val="000E370D"/>
    <w:rsid w:val="00216E68"/>
    <w:rsid w:val="0023373F"/>
    <w:rsid w:val="00252748"/>
    <w:rsid w:val="00271595"/>
    <w:rsid w:val="0027219D"/>
    <w:rsid w:val="002906AB"/>
    <w:rsid w:val="002A6C2B"/>
    <w:rsid w:val="00307FAC"/>
    <w:rsid w:val="00470C55"/>
    <w:rsid w:val="004D3EAB"/>
    <w:rsid w:val="004D6351"/>
    <w:rsid w:val="005441C8"/>
    <w:rsid w:val="005A68C8"/>
    <w:rsid w:val="005F369F"/>
    <w:rsid w:val="00643037"/>
    <w:rsid w:val="00652FC4"/>
    <w:rsid w:val="00775493"/>
    <w:rsid w:val="007B4AAD"/>
    <w:rsid w:val="00831D3C"/>
    <w:rsid w:val="00833400"/>
    <w:rsid w:val="00857111"/>
    <w:rsid w:val="00866269"/>
    <w:rsid w:val="008C14D5"/>
    <w:rsid w:val="008F56AD"/>
    <w:rsid w:val="009757E8"/>
    <w:rsid w:val="0097730D"/>
    <w:rsid w:val="009B4073"/>
    <w:rsid w:val="00A45044"/>
    <w:rsid w:val="00A82754"/>
    <w:rsid w:val="00AA2E8D"/>
    <w:rsid w:val="00B27958"/>
    <w:rsid w:val="00C46798"/>
    <w:rsid w:val="00C95D85"/>
    <w:rsid w:val="00CF7736"/>
    <w:rsid w:val="00D535FB"/>
    <w:rsid w:val="00D567C6"/>
    <w:rsid w:val="00D664B2"/>
    <w:rsid w:val="00DC4490"/>
    <w:rsid w:val="00DD166B"/>
    <w:rsid w:val="00E0173B"/>
    <w:rsid w:val="00E21AA3"/>
    <w:rsid w:val="00E708D8"/>
    <w:rsid w:val="00EA026A"/>
    <w:rsid w:val="00EA3512"/>
    <w:rsid w:val="00EB0F1D"/>
    <w:rsid w:val="00EC0374"/>
    <w:rsid w:val="00EF3FE4"/>
    <w:rsid w:val="00FD34E9"/>
    <w:rsid w:val="00FF699F"/>
    <w:rsid w:val="0667ABAD"/>
    <w:rsid w:val="082790E6"/>
    <w:rsid w:val="0D7515D6"/>
    <w:rsid w:val="0ED95BDF"/>
    <w:rsid w:val="1044B81C"/>
    <w:rsid w:val="11B54ACF"/>
    <w:rsid w:val="1240A4B0"/>
    <w:rsid w:val="1D2629E8"/>
    <w:rsid w:val="1E00E124"/>
    <w:rsid w:val="2970FC85"/>
    <w:rsid w:val="2B0CCCE6"/>
    <w:rsid w:val="2D58983B"/>
    <w:rsid w:val="2E64960B"/>
    <w:rsid w:val="3296EA1C"/>
    <w:rsid w:val="34D3D78F"/>
    <w:rsid w:val="3604ADD0"/>
    <w:rsid w:val="39FA3287"/>
    <w:rsid w:val="3BBB01D1"/>
    <w:rsid w:val="3C35159E"/>
    <w:rsid w:val="3E664A94"/>
    <w:rsid w:val="3F837F34"/>
    <w:rsid w:val="40021AF5"/>
    <w:rsid w:val="419A1FBA"/>
    <w:rsid w:val="419DEB56"/>
    <w:rsid w:val="44F1E8DF"/>
    <w:rsid w:val="4A980712"/>
    <w:rsid w:val="4B612A63"/>
    <w:rsid w:val="4CE70C53"/>
    <w:rsid w:val="4E5257FC"/>
    <w:rsid w:val="50A3265E"/>
    <w:rsid w:val="54EEBEFB"/>
    <w:rsid w:val="5C31C060"/>
    <w:rsid w:val="5DCD90C1"/>
    <w:rsid w:val="5E6990B5"/>
    <w:rsid w:val="5FCB16DB"/>
    <w:rsid w:val="6123937E"/>
    <w:rsid w:val="62BF63DF"/>
    <w:rsid w:val="6307F8B1"/>
    <w:rsid w:val="63A5B486"/>
    <w:rsid w:val="63FFC3C6"/>
    <w:rsid w:val="66889D9A"/>
    <w:rsid w:val="68691B65"/>
    <w:rsid w:val="72DD752F"/>
    <w:rsid w:val="775BCD51"/>
    <w:rsid w:val="7A212A2B"/>
    <w:rsid w:val="7D7D1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B684"/>
  <w15:chartTrackingRefBased/>
  <w15:docId w15:val="{06A66731-1EFC-4D87-A32C-6708817A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7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67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7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67C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5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6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567C6"/>
  </w:style>
  <w:style w:type="character" w:customStyle="1" w:styleId="contentcontrol">
    <w:name w:val="contentcontrol"/>
    <w:basedOn w:val="DefaultParagraphFont"/>
    <w:rsid w:val="00D567C6"/>
  </w:style>
  <w:style w:type="character" w:customStyle="1" w:styleId="normaltextrun">
    <w:name w:val="normaltextrun"/>
    <w:basedOn w:val="DefaultParagraphFont"/>
    <w:rsid w:val="00D567C6"/>
  </w:style>
  <w:style w:type="character" w:styleId="Hyperlink">
    <w:name w:val="Hyperlink"/>
    <w:basedOn w:val="DefaultParagraphFont"/>
    <w:uiPriority w:val="99"/>
    <w:unhideWhenUsed/>
    <w:rsid w:val="00D567C6"/>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1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68C8"/>
    <w:rPr>
      <w:b/>
      <w:bCs/>
    </w:rPr>
  </w:style>
  <w:style w:type="character" w:customStyle="1" w:styleId="CommentSubjectChar">
    <w:name w:val="Comment Subject Char"/>
    <w:basedOn w:val="CommentTextChar"/>
    <w:link w:val="CommentSubject"/>
    <w:uiPriority w:val="99"/>
    <w:semiHidden/>
    <w:rsid w:val="005A68C8"/>
    <w:rPr>
      <w:b/>
      <w:bCs/>
      <w:sz w:val="20"/>
      <w:szCs w:val="20"/>
    </w:rPr>
  </w:style>
  <w:style w:type="paragraph" w:styleId="ListParagraph">
    <w:name w:val="List Paragraph"/>
    <w:basedOn w:val="Normal"/>
    <w:uiPriority w:val="34"/>
    <w:qFormat/>
    <w:rsid w:val="00C95D85"/>
    <w:pPr>
      <w:ind w:left="720"/>
      <w:contextualSpacing/>
    </w:pPr>
  </w:style>
  <w:style w:type="paragraph" w:styleId="Revision">
    <w:name w:val="Revision"/>
    <w:hidden/>
    <w:uiPriority w:val="99"/>
    <w:semiHidden/>
    <w:rsid w:val="00D53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92473">
      <w:bodyDiv w:val="1"/>
      <w:marLeft w:val="0"/>
      <w:marRight w:val="0"/>
      <w:marTop w:val="0"/>
      <w:marBottom w:val="0"/>
      <w:divBdr>
        <w:top w:val="none" w:sz="0" w:space="0" w:color="auto"/>
        <w:left w:val="none" w:sz="0" w:space="0" w:color="auto"/>
        <w:bottom w:val="none" w:sz="0" w:space="0" w:color="auto"/>
        <w:right w:val="none" w:sz="0" w:space="0" w:color="auto"/>
      </w:divBdr>
      <w:divsChild>
        <w:div w:id="312299850">
          <w:marLeft w:val="0"/>
          <w:marRight w:val="0"/>
          <w:marTop w:val="0"/>
          <w:marBottom w:val="0"/>
          <w:divBdr>
            <w:top w:val="none" w:sz="0" w:space="0" w:color="auto"/>
            <w:left w:val="none" w:sz="0" w:space="0" w:color="auto"/>
            <w:bottom w:val="none" w:sz="0" w:space="0" w:color="auto"/>
            <w:right w:val="none" w:sz="0" w:space="0" w:color="auto"/>
          </w:divBdr>
        </w:div>
        <w:div w:id="473178012">
          <w:marLeft w:val="0"/>
          <w:marRight w:val="0"/>
          <w:marTop w:val="0"/>
          <w:marBottom w:val="0"/>
          <w:divBdr>
            <w:top w:val="none" w:sz="0" w:space="0" w:color="auto"/>
            <w:left w:val="none" w:sz="0" w:space="0" w:color="auto"/>
            <w:bottom w:val="none" w:sz="0" w:space="0" w:color="auto"/>
            <w:right w:val="none" w:sz="0" w:space="0" w:color="auto"/>
          </w:divBdr>
        </w:div>
        <w:div w:id="1112553040">
          <w:marLeft w:val="0"/>
          <w:marRight w:val="0"/>
          <w:marTop w:val="0"/>
          <w:marBottom w:val="0"/>
          <w:divBdr>
            <w:top w:val="none" w:sz="0" w:space="0" w:color="auto"/>
            <w:left w:val="none" w:sz="0" w:space="0" w:color="auto"/>
            <w:bottom w:val="none" w:sz="0" w:space="0" w:color="auto"/>
            <w:right w:val="none" w:sz="0" w:space="0" w:color="auto"/>
          </w:divBdr>
        </w:div>
        <w:div w:id="1016927560">
          <w:marLeft w:val="0"/>
          <w:marRight w:val="0"/>
          <w:marTop w:val="0"/>
          <w:marBottom w:val="0"/>
          <w:divBdr>
            <w:top w:val="none" w:sz="0" w:space="0" w:color="auto"/>
            <w:left w:val="none" w:sz="0" w:space="0" w:color="auto"/>
            <w:bottom w:val="none" w:sz="0" w:space="0" w:color="auto"/>
            <w:right w:val="none" w:sz="0" w:space="0" w:color="auto"/>
          </w:divBdr>
        </w:div>
        <w:div w:id="51540650">
          <w:marLeft w:val="0"/>
          <w:marRight w:val="0"/>
          <w:marTop w:val="0"/>
          <w:marBottom w:val="0"/>
          <w:divBdr>
            <w:top w:val="none" w:sz="0" w:space="0" w:color="auto"/>
            <w:left w:val="none" w:sz="0" w:space="0" w:color="auto"/>
            <w:bottom w:val="none" w:sz="0" w:space="0" w:color="auto"/>
            <w:right w:val="none" w:sz="0" w:space="0" w:color="auto"/>
          </w:divBdr>
        </w:div>
        <w:div w:id="51341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pangaea.de/10.1594/PANGAEA.88747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pangaea.de/10.1594/PANGAEA.887477" TargetMode="External"/><Relationship Id="rId17" Type="http://schemas.openxmlformats.org/officeDocument/2006/relationships/hyperlink" Target="https://doi.org/10.5194/HESS-14-2367-2010" TargetMode="External"/><Relationship Id="rId2" Type="http://schemas.openxmlformats.org/officeDocument/2006/relationships/customXml" Target="../customXml/item2.xml"/><Relationship Id="rId16" Type="http://schemas.openxmlformats.org/officeDocument/2006/relationships/hyperlink" Target="https://doi.org/10.2166/nh.2017.0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5194/HESS-17-2717-201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ahs.info/uploads/dms/13709.89-490-495-03-308-Dixon.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34555FC5069488214DC184E1A40D0" ma:contentTypeVersion="12" ma:contentTypeDescription="Create a new document." ma:contentTypeScope="" ma:versionID="3f53492faee29ea3c1fd5b9768412ba4">
  <xsd:schema xmlns:xsd="http://www.w3.org/2001/XMLSchema" xmlns:xs="http://www.w3.org/2001/XMLSchema" xmlns:p="http://schemas.microsoft.com/office/2006/metadata/properties" xmlns:ns2="ac71f5af-45bf-417d-9b0c-31c0abc7775b" xmlns:ns3="610e4e47-46e6-4f2b-9ca4-abb19d7f29fa" targetNamespace="http://schemas.microsoft.com/office/2006/metadata/properties" ma:root="true" ma:fieldsID="8da138e9c0edb4a37389e302ba4c862f" ns2:_="" ns3:_="">
    <xsd:import namespace="ac71f5af-45bf-417d-9b0c-31c0abc7775b"/>
    <xsd:import namespace="610e4e47-46e6-4f2b-9ca4-abb19d7f29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1f5af-45bf-417d-9b0c-31c0abc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0e4e47-46e6-4f2b-9ca4-abb19d7f29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58EC7-9387-4AFA-BD29-A3D6E319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1f5af-45bf-417d-9b0c-31c0abc7775b"/>
    <ds:schemaRef ds:uri="610e4e47-46e6-4f2b-9ca4-abb19d7f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9BE95-C025-43AE-832F-73681C2350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71f5af-45bf-417d-9b0c-31c0abc7775b"/>
    <ds:schemaRef ds:uri="610e4e47-46e6-4f2b-9ca4-abb19d7f29f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DD7C43-2222-4DC6-A8F4-59FA0430BA7E}">
  <ds:schemaRefs>
    <ds:schemaRef ds:uri="http://schemas.openxmlformats.org/officeDocument/2006/bibliography"/>
  </ds:schemaRefs>
</ds:datastoreItem>
</file>

<file path=customXml/itemProps4.xml><?xml version="1.0" encoding="utf-8"?>
<ds:datastoreItem xmlns:ds="http://schemas.openxmlformats.org/officeDocument/2006/customXml" ds:itemID="{694BF5F2-081D-4A1E-965F-EA97BCA0F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Centre for Ecology and Hydrology</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Turner</dc:creator>
  <cp:keywords/>
  <dc:description/>
  <cp:lastModifiedBy>Sayali Pawar</cp:lastModifiedBy>
  <cp:revision>3</cp:revision>
  <dcterms:created xsi:type="dcterms:W3CDTF">2023-04-13T11:26:00Z</dcterms:created>
  <dcterms:modified xsi:type="dcterms:W3CDTF">2024-11-27T16:59:00Z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0x010100A2434555FC5069488214DC184E1A40D0</vt:lpwstr>
  </property>
</Properties>
</file>